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2DC" w:rsidRPr="00F25E87" w:rsidRDefault="00B302DC" w:rsidP="00B302DC">
      <w:pPr>
        <w:tabs>
          <w:tab w:val="center" w:pos="4536"/>
          <w:tab w:val="right" w:pos="8280"/>
          <w:tab w:val="right" w:pos="9639"/>
        </w:tabs>
        <w:ind w:left="0" w:firstLine="0"/>
        <w:rPr>
          <w:rFonts w:ascii="Arial" w:hAnsi="Arial" w:cs="Arial"/>
          <w:b/>
          <w:bCs/>
          <w:sz w:val="28"/>
          <w:lang w:eastAsia="ko-KR"/>
        </w:rPr>
      </w:pPr>
      <w:r w:rsidRPr="003B4AF5">
        <w:rPr>
          <w:rFonts w:ascii="Arial" w:hAnsi="Arial" w:cs="Arial"/>
          <w:b/>
          <w:bCs/>
          <w:sz w:val="28"/>
        </w:rPr>
        <w:t xml:space="preserve">3GPP TSG RAN WG1 Meeting </w:t>
      </w:r>
      <w:r w:rsidR="00441CF7" w:rsidRPr="003B4AF5">
        <w:rPr>
          <w:rFonts w:ascii="Arial" w:hAnsi="Arial" w:cs="Arial"/>
          <w:b/>
          <w:bCs/>
          <w:sz w:val="28"/>
        </w:rPr>
        <w:t>#9</w:t>
      </w:r>
      <w:r w:rsidR="006C2DEB">
        <w:rPr>
          <w:rFonts w:ascii="Arial" w:hAnsi="Arial" w:cs="Arial"/>
          <w:b/>
          <w:bCs/>
          <w:sz w:val="28"/>
        </w:rPr>
        <w:t xml:space="preserve">3  </w:t>
      </w:r>
      <w:r w:rsidRPr="003B4AF5">
        <w:rPr>
          <w:rFonts w:ascii="Arial" w:hAnsi="Arial" w:cs="Arial"/>
          <w:b/>
          <w:bCs/>
          <w:sz w:val="28"/>
        </w:rPr>
        <w:t xml:space="preserve"> </w:t>
      </w:r>
      <w:r w:rsidR="00437D85">
        <w:rPr>
          <w:rFonts w:ascii="Arial" w:hAnsi="Arial" w:cs="Arial"/>
          <w:b/>
          <w:bCs/>
          <w:sz w:val="28"/>
        </w:rPr>
        <w:t xml:space="preserve">                      </w:t>
      </w:r>
      <w:r w:rsidR="00437D85" w:rsidRPr="00437D85">
        <w:rPr>
          <w:rFonts w:ascii="Arial" w:hAnsi="Arial" w:cs="Arial"/>
          <w:b/>
          <w:bCs/>
          <w:sz w:val="28"/>
        </w:rPr>
        <w:t>R1-180</w:t>
      </w:r>
      <w:r w:rsidR="003963BC" w:rsidRPr="003963BC">
        <w:rPr>
          <w:rFonts w:ascii="Arial" w:hAnsi="Arial" w:cs="Arial"/>
          <w:b/>
          <w:bCs/>
          <w:sz w:val="28"/>
        </w:rPr>
        <w:t>66</w:t>
      </w:r>
      <w:r w:rsidR="006C2DEB" w:rsidRPr="003963BC">
        <w:rPr>
          <w:rFonts w:ascii="Arial" w:hAnsi="Arial" w:cs="Arial"/>
          <w:b/>
          <w:bCs/>
          <w:sz w:val="28"/>
        </w:rPr>
        <w:t>00</w:t>
      </w:r>
    </w:p>
    <w:p w:rsidR="00B302DC" w:rsidRPr="003B4AF5" w:rsidRDefault="006C2DEB" w:rsidP="00B302DC">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rsidR="00335856" w:rsidRPr="003B4AF5" w:rsidRDefault="00335856" w:rsidP="00335856">
      <w:pPr>
        <w:tabs>
          <w:tab w:val="left" w:pos="1985"/>
        </w:tabs>
        <w:spacing w:after="0"/>
        <w:ind w:left="0" w:firstLine="0"/>
        <w:rPr>
          <w:rFonts w:ascii="Arial" w:eastAsia="맑은 고딕" w:hAnsi="Arial"/>
          <w:b/>
          <w:sz w:val="24"/>
          <w:lang w:eastAsia="ko-KR"/>
        </w:rPr>
      </w:pPr>
    </w:p>
    <w:p w:rsidR="00C238EE" w:rsidRPr="003B4AF5" w:rsidRDefault="003C5E2A" w:rsidP="00634235">
      <w:pPr>
        <w:tabs>
          <w:tab w:val="left" w:pos="1985"/>
        </w:tabs>
        <w:spacing w:after="0"/>
        <w:ind w:left="0" w:firstLine="0"/>
        <w:rPr>
          <w:rFonts w:ascii="Arial" w:eastAsia="바탕" w:hAnsi="Arial"/>
          <w:sz w:val="24"/>
          <w:lang w:val="en-US" w:eastAsia="ko-KR"/>
        </w:rPr>
      </w:pPr>
      <w:r w:rsidRPr="003B4AF5">
        <w:rPr>
          <w:rFonts w:ascii="Arial" w:hAnsi="Arial"/>
          <w:b/>
          <w:sz w:val="24"/>
          <w:lang w:val="en-US"/>
        </w:rPr>
        <w:t>Agenda Item:</w:t>
      </w:r>
      <w:r w:rsidRPr="003B4AF5">
        <w:rPr>
          <w:rFonts w:ascii="Arial" w:hAnsi="Arial"/>
          <w:sz w:val="24"/>
          <w:lang w:val="en-US"/>
        </w:rPr>
        <w:tab/>
      </w:r>
      <w:r w:rsidR="00F25E87" w:rsidRPr="00F25E87">
        <w:rPr>
          <w:rFonts w:ascii="Arial" w:hAnsi="Arial"/>
          <w:sz w:val="24"/>
          <w:lang w:val="en-US"/>
        </w:rPr>
        <w:t>7.1.1.1</w:t>
      </w:r>
    </w:p>
    <w:p w:rsidR="003C5E2A" w:rsidRPr="003B4AF5" w:rsidRDefault="003C5E2A" w:rsidP="00634235">
      <w:pPr>
        <w:tabs>
          <w:tab w:val="left" w:pos="1985"/>
        </w:tabs>
        <w:spacing w:after="0"/>
        <w:ind w:left="0" w:firstLine="0"/>
        <w:rPr>
          <w:rFonts w:ascii="Arial" w:eastAsia="바탕" w:hAnsi="Arial"/>
          <w:sz w:val="24"/>
          <w:lang w:val="en-US" w:eastAsia="ko-KR"/>
        </w:rPr>
      </w:pPr>
      <w:r w:rsidRPr="003B4AF5">
        <w:rPr>
          <w:rFonts w:ascii="Arial" w:hAnsi="Arial"/>
          <w:b/>
          <w:sz w:val="24"/>
          <w:lang w:val="en-US"/>
        </w:rPr>
        <w:t xml:space="preserve">Source: </w:t>
      </w:r>
      <w:r w:rsidRPr="003B4AF5">
        <w:rPr>
          <w:rFonts w:ascii="Arial" w:hAnsi="Arial"/>
          <w:b/>
          <w:sz w:val="24"/>
          <w:lang w:val="en-US"/>
        </w:rPr>
        <w:tab/>
      </w:r>
      <w:r w:rsidRPr="003B4AF5">
        <w:rPr>
          <w:rFonts w:ascii="Arial" w:eastAsia="바탕" w:hAnsi="Arial"/>
          <w:sz w:val="24"/>
          <w:lang w:val="en-US" w:eastAsia="ko-KR"/>
        </w:rPr>
        <w:t>LG Electronics</w:t>
      </w:r>
    </w:p>
    <w:p w:rsidR="003C5E2A" w:rsidRPr="003B4AF5"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3B4AF5">
        <w:rPr>
          <w:rFonts w:ascii="Arial" w:hAnsi="Arial"/>
          <w:b/>
          <w:sz w:val="24"/>
          <w:lang w:val="en-US"/>
        </w:rPr>
        <w:t>Title:</w:t>
      </w:r>
      <w:r w:rsidRPr="003B4AF5">
        <w:rPr>
          <w:rFonts w:ascii="Arial" w:hAnsi="Arial"/>
          <w:sz w:val="24"/>
          <w:lang w:val="en-US"/>
        </w:rPr>
        <w:t xml:space="preserve"> </w:t>
      </w:r>
      <w:r w:rsidRPr="003B4AF5">
        <w:rPr>
          <w:rFonts w:ascii="Arial" w:hAnsi="Arial"/>
          <w:sz w:val="24"/>
          <w:lang w:val="en-US"/>
        </w:rPr>
        <w:tab/>
      </w:r>
      <w:r w:rsidR="004D1258" w:rsidRPr="003B4AF5">
        <w:rPr>
          <w:rFonts w:ascii="Arial" w:hAnsi="Arial"/>
          <w:sz w:val="24"/>
          <w:lang w:val="en-US"/>
        </w:rPr>
        <w:t>Remaining Details on Synchronization signal</w:t>
      </w:r>
    </w:p>
    <w:p w:rsidR="00152C02" w:rsidRPr="003B4AF5" w:rsidRDefault="003C5E2A" w:rsidP="00634235">
      <w:pPr>
        <w:pBdr>
          <w:bottom w:val="single" w:sz="12" w:space="1" w:color="auto"/>
        </w:pBdr>
        <w:tabs>
          <w:tab w:val="left" w:pos="1985"/>
        </w:tabs>
        <w:ind w:left="0" w:firstLine="0"/>
        <w:rPr>
          <w:rFonts w:ascii="Arial" w:eastAsia="바탕" w:hAnsi="Arial"/>
          <w:sz w:val="24"/>
          <w:lang w:val="en-US" w:eastAsia="ko-KR"/>
        </w:rPr>
      </w:pPr>
      <w:r w:rsidRPr="003B4AF5">
        <w:rPr>
          <w:rFonts w:ascii="Arial" w:hAnsi="Arial"/>
          <w:b/>
          <w:sz w:val="24"/>
          <w:lang w:val="en-US"/>
        </w:rPr>
        <w:t>Document for:</w:t>
      </w:r>
      <w:r w:rsidRPr="003B4AF5">
        <w:rPr>
          <w:rFonts w:ascii="Arial" w:hAnsi="Arial"/>
          <w:sz w:val="24"/>
          <w:lang w:val="en-US"/>
        </w:rPr>
        <w:tab/>
      </w:r>
      <w:r w:rsidRPr="003B4AF5">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00E94" w:rsidRPr="003B4AF5">
        <w:rPr>
          <w:rFonts w:ascii="Arial" w:eastAsia="바탕" w:hAnsi="Arial"/>
          <w:sz w:val="24"/>
          <w:lang w:val="en-US" w:eastAsia="ko-KR"/>
        </w:rPr>
        <w:t xml:space="preserve"> and decision</w:t>
      </w:r>
    </w:p>
    <w:p w:rsidR="00095BF5" w:rsidRPr="003B4AF5" w:rsidRDefault="003C521C" w:rsidP="00E11E91">
      <w:pPr>
        <w:pStyle w:val="1"/>
        <w:numPr>
          <w:ilvl w:val="0"/>
          <w:numId w:val="2"/>
        </w:numPr>
        <w:rPr>
          <w:rFonts w:eastAsia="바탕"/>
          <w:b/>
          <w:lang w:val="en-US" w:eastAsia="ko-KR"/>
        </w:rPr>
      </w:pPr>
      <w:r w:rsidRPr="003B4AF5">
        <w:rPr>
          <w:rFonts w:eastAsia="바탕"/>
          <w:b/>
          <w:lang w:val="en-US" w:eastAsia="ko-KR"/>
        </w:rPr>
        <w:t>Introduction</w:t>
      </w:r>
    </w:p>
    <w:p w:rsidR="00FF3423" w:rsidRPr="003B4AF5" w:rsidRDefault="00FF3423" w:rsidP="003B4AF5">
      <w:pPr>
        <w:spacing w:before="120" w:after="120" w:line="360" w:lineRule="exact"/>
        <w:ind w:left="0" w:firstLineChars="100" w:firstLine="220"/>
        <w:rPr>
          <w:rFonts w:eastAsia="바탕"/>
          <w:sz w:val="22"/>
          <w:szCs w:val="22"/>
          <w:lang w:val="en-US" w:eastAsia="ko-KR"/>
        </w:rPr>
      </w:pPr>
      <w:r w:rsidRPr="003B4AF5">
        <w:rPr>
          <w:rFonts w:eastAsia="바탕" w:hint="eastAsia"/>
          <w:sz w:val="22"/>
          <w:szCs w:val="22"/>
          <w:lang w:val="en-US" w:eastAsia="ko-KR"/>
        </w:rPr>
        <w:t xml:space="preserve">In this documentation, we discuss on the remaining </w:t>
      </w:r>
      <w:r w:rsidR="00137B15" w:rsidRPr="003B4AF5">
        <w:rPr>
          <w:rFonts w:eastAsia="바탕"/>
          <w:sz w:val="22"/>
          <w:szCs w:val="22"/>
          <w:lang w:val="en-US" w:eastAsia="ko-KR"/>
        </w:rPr>
        <w:t xml:space="preserve">detail </w:t>
      </w:r>
      <w:r w:rsidR="006C2DEB">
        <w:rPr>
          <w:rFonts w:eastAsia="바탕"/>
          <w:sz w:val="22"/>
          <w:szCs w:val="22"/>
          <w:lang w:val="en-US" w:eastAsia="ko-KR"/>
        </w:rPr>
        <w:t>for</w:t>
      </w:r>
      <w:r w:rsidRPr="003B4AF5">
        <w:rPr>
          <w:rFonts w:eastAsia="바탕" w:hint="eastAsia"/>
          <w:sz w:val="22"/>
          <w:szCs w:val="22"/>
          <w:lang w:val="en-US" w:eastAsia="ko-KR"/>
        </w:rPr>
        <w:t xml:space="preserve"> </w:t>
      </w:r>
      <w:r w:rsidRPr="003B4AF5">
        <w:rPr>
          <w:rFonts w:eastAsia="바탕"/>
          <w:sz w:val="22"/>
          <w:szCs w:val="22"/>
          <w:lang w:val="en-US" w:eastAsia="ko-KR"/>
        </w:rPr>
        <w:t xml:space="preserve">OFDM </w:t>
      </w:r>
      <w:r w:rsidR="00F76F95">
        <w:rPr>
          <w:rFonts w:eastAsia="바탕"/>
          <w:sz w:val="22"/>
          <w:szCs w:val="22"/>
          <w:lang w:val="en-US" w:eastAsia="ko-KR"/>
        </w:rPr>
        <w:t>baseband signal generation</w:t>
      </w:r>
    </w:p>
    <w:p w:rsidR="00F34679" w:rsidRPr="003B4AF5" w:rsidRDefault="00F34679" w:rsidP="00882D23">
      <w:pPr>
        <w:spacing w:before="120" w:after="120" w:line="240" w:lineRule="auto"/>
        <w:ind w:left="0" w:firstLineChars="150" w:firstLine="330"/>
        <w:rPr>
          <w:rFonts w:eastAsia="바탕"/>
          <w:sz w:val="22"/>
          <w:szCs w:val="22"/>
          <w:lang w:val="en-US" w:eastAsia="ko-KR"/>
        </w:rPr>
      </w:pPr>
    </w:p>
    <w:p w:rsidR="00AA5E5A" w:rsidRPr="003B4AF5" w:rsidRDefault="00F76F95" w:rsidP="00AA5E5A">
      <w:pPr>
        <w:pStyle w:val="1"/>
        <w:numPr>
          <w:ilvl w:val="0"/>
          <w:numId w:val="2"/>
        </w:numPr>
        <w:rPr>
          <w:rFonts w:eastAsia="바탕"/>
          <w:b/>
          <w:lang w:val="en-US" w:eastAsia="ko-KR"/>
        </w:rPr>
      </w:pPr>
      <w:r>
        <w:rPr>
          <w:rFonts w:eastAsia="바탕"/>
          <w:b/>
          <w:lang w:val="en-US" w:eastAsia="ko-KR"/>
        </w:rPr>
        <w:t>OFDM baseband signal generation</w:t>
      </w:r>
    </w:p>
    <w:p w:rsidR="00824A94" w:rsidRDefault="00E20780" w:rsidP="00E20780">
      <w:pPr>
        <w:spacing w:before="120" w:after="120" w:line="360" w:lineRule="exact"/>
        <w:ind w:left="0" w:firstLineChars="100" w:firstLine="220"/>
        <w:rPr>
          <w:rFonts w:eastAsia="바탕"/>
          <w:sz w:val="22"/>
          <w:szCs w:val="22"/>
          <w:lang w:val="en-US" w:eastAsia="ko-KR"/>
        </w:rPr>
      </w:pPr>
      <w:r>
        <w:rPr>
          <w:rFonts w:eastAsia="바탕"/>
          <w:sz w:val="22"/>
          <w:szCs w:val="22"/>
          <w:lang w:val="en-US" w:eastAsia="ko-KR"/>
        </w:rPr>
        <w:t xml:space="preserve">In RAN1#92bis meeting, the definition of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sidR="004C7F4C">
        <w:rPr>
          <w:rFonts w:eastAsia="바탕" w:hint="eastAsia"/>
          <w:sz w:val="22"/>
          <w:szCs w:val="22"/>
          <w:lang w:val="en-US" w:eastAsia="ko-KR"/>
        </w:rPr>
        <w:t xml:space="preserve"> </w:t>
      </w:r>
      <w:r w:rsidR="004C7F4C">
        <w:rPr>
          <w:rFonts w:eastAsia="바탕"/>
          <w:sz w:val="22"/>
          <w:szCs w:val="22"/>
          <w:lang w:val="en-US" w:eastAsia="ko-KR"/>
        </w:rPr>
        <w:t>described</w:t>
      </w:r>
      <w:r w:rsidR="004C7F4C">
        <w:rPr>
          <w:rFonts w:eastAsia="바탕" w:hint="eastAsia"/>
          <w:sz w:val="22"/>
          <w:szCs w:val="22"/>
          <w:lang w:val="en-US" w:eastAsia="ko-KR"/>
        </w:rPr>
        <w:t xml:space="preserve"> </w:t>
      </w:r>
      <w:r w:rsidR="004C7F4C">
        <w:rPr>
          <w:rFonts w:eastAsia="바탕"/>
          <w:sz w:val="22"/>
          <w:szCs w:val="22"/>
          <w:lang w:val="en-US" w:eastAsia="ko-KR"/>
        </w:rPr>
        <w:t xml:space="preserve">for </w:t>
      </w:r>
      <w:r w:rsidR="004C7F4C" w:rsidRPr="004C7F4C">
        <w:rPr>
          <w:rFonts w:eastAsia="바탕"/>
          <w:sz w:val="22"/>
          <w:szCs w:val="22"/>
          <w:lang w:val="en-US" w:eastAsia="ko-KR"/>
        </w:rPr>
        <w:t>OFDM baseband signal generation</w:t>
      </w:r>
      <w:r w:rsidR="004C7F4C">
        <w:rPr>
          <w:rFonts w:eastAsia="바탕"/>
          <w:sz w:val="22"/>
          <w:szCs w:val="22"/>
          <w:lang w:val="en-US" w:eastAsia="ko-KR"/>
        </w:rPr>
        <w:t xml:space="preserve"> was discussed. Instead of the original intention that</w:t>
      </w:r>
      <w:r w:rsidR="00DA0A7D">
        <w:rPr>
          <w:rFonts w:eastAsia="바탕"/>
          <w:sz w:val="22"/>
          <w:szCs w:val="22"/>
          <w:lang w:val="en-US" w:eastAsia="ko-KR"/>
        </w:rPr>
        <w:t xml:space="preserve"> the value of</w:t>
      </w:r>
      <w:r w:rsidR="004C7F4C">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sidR="004C7F4C">
        <w:rPr>
          <w:rFonts w:eastAsia="바탕" w:hint="eastAsia"/>
          <w:sz w:val="22"/>
          <w:szCs w:val="22"/>
          <w:lang w:val="en-US" w:eastAsia="ko-KR"/>
        </w:rPr>
        <w:t xml:space="preserve"> is </w:t>
      </w:r>
      <w:r w:rsidR="00DA0A7D">
        <w:rPr>
          <w:rFonts w:eastAsia="바탕"/>
          <w:sz w:val="22"/>
          <w:szCs w:val="22"/>
          <w:lang w:val="en-US" w:eastAsia="ko-KR"/>
        </w:rPr>
        <w:t xml:space="preserve">obtained from the higher-layer parameter k0 </w:t>
      </w:r>
      <w:r w:rsidR="004C7F4C">
        <w:rPr>
          <w:rFonts w:eastAsia="바탕" w:hint="eastAsia"/>
          <w:sz w:val="22"/>
          <w:szCs w:val="22"/>
          <w:lang w:val="en-US" w:eastAsia="ko-KR"/>
        </w:rPr>
        <w:t>for PRB alignment</w:t>
      </w:r>
      <w:r w:rsidR="004C7F4C">
        <w:rPr>
          <w:rFonts w:eastAsia="바탕"/>
          <w:sz w:val="22"/>
          <w:szCs w:val="22"/>
          <w:lang w:val="en-US" w:eastAsia="ko-KR"/>
        </w:rPr>
        <w:t xml:space="preserve">, companies were newly understanding that the </w:t>
      </w:r>
      <w:r w:rsidR="00DA0A7D">
        <w:rPr>
          <w:rFonts w:eastAsia="바탕"/>
          <w:sz w:val="22"/>
          <w:szCs w:val="22"/>
          <w:lang w:val="en-US" w:eastAsia="ko-KR"/>
        </w:rPr>
        <w:t>variable</w:t>
      </w:r>
      <w:r w:rsidR="004C7F4C">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sidR="004C7F4C">
        <w:rPr>
          <w:rFonts w:eastAsia="바탕" w:hint="eastAsia"/>
          <w:sz w:val="22"/>
          <w:szCs w:val="22"/>
          <w:lang w:val="en-US" w:eastAsia="ko-KR"/>
        </w:rPr>
        <w:t xml:space="preserve"> </w:t>
      </w:r>
      <w:r w:rsidR="00DA0A7D">
        <w:rPr>
          <w:rFonts w:eastAsia="바탕"/>
          <w:sz w:val="22"/>
          <w:szCs w:val="22"/>
          <w:lang w:val="en-US" w:eastAsia="ko-KR"/>
        </w:rPr>
        <w:t xml:space="preserve">in the OFDM signal generation formula </w:t>
      </w:r>
      <w:r w:rsidR="004C7F4C">
        <w:rPr>
          <w:rFonts w:eastAsia="바탕" w:hint="eastAsia"/>
          <w:sz w:val="22"/>
          <w:szCs w:val="22"/>
          <w:lang w:val="en-US" w:eastAsia="ko-KR"/>
        </w:rPr>
        <w:t>is</w:t>
      </w:r>
      <w:r w:rsidR="004C7F4C">
        <w:rPr>
          <w:rFonts w:eastAsia="바탕"/>
          <w:sz w:val="22"/>
          <w:szCs w:val="22"/>
          <w:lang w:val="en-US" w:eastAsia="ko-KR"/>
        </w:rPr>
        <w:t xml:space="preserve"> </w:t>
      </w:r>
      <w:r w:rsidR="00E83DF4">
        <w:rPr>
          <w:rFonts w:eastAsia="바탕"/>
          <w:sz w:val="22"/>
          <w:szCs w:val="22"/>
          <w:lang w:val="en-US" w:eastAsia="ko-KR"/>
        </w:rPr>
        <w:t>used for the purpose to be defined as</w:t>
      </w:r>
      <w:r w:rsidR="00DA0A7D">
        <w:rPr>
          <w:rFonts w:eastAsia="바탕"/>
          <w:sz w:val="22"/>
          <w:szCs w:val="22"/>
          <w:lang w:val="en-US" w:eastAsia="ko-KR"/>
        </w:rPr>
        <w:t xml:space="preserve"> </w:t>
      </w:r>
      <w:r w:rsidR="004C7F4C">
        <w:rPr>
          <w:rFonts w:eastAsia="바탕"/>
          <w:sz w:val="22"/>
          <w:szCs w:val="22"/>
          <w:lang w:val="en-US" w:eastAsia="ko-KR"/>
        </w:rPr>
        <w:t xml:space="preserve">the frequency offset </w:t>
      </w:r>
      <w:r w:rsidR="00123810">
        <w:rPr>
          <w:rFonts w:eastAsia="바탕"/>
          <w:sz w:val="22"/>
          <w:szCs w:val="22"/>
          <w:lang w:val="en-US" w:eastAsia="ko-KR"/>
        </w:rPr>
        <w:t>between the</w:t>
      </w:r>
      <w:r w:rsidR="004C7F4C">
        <w:rPr>
          <w:rFonts w:eastAsia="바탕"/>
          <w:sz w:val="22"/>
          <w:szCs w:val="22"/>
          <w:lang w:val="en-US" w:eastAsia="ko-KR"/>
        </w:rPr>
        <w:t xml:space="preserve"> center frequency </w:t>
      </w:r>
      <w:r w:rsidR="00123810">
        <w:rPr>
          <w:rFonts w:eastAsia="바탕"/>
          <w:sz w:val="22"/>
          <w:szCs w:val="22"/>
          <w:lang w:val="en-US" w:eastAsia="ko-KR"/>
        </w:rPr>
        <w:t>of frequency bands with</w:t>
      </w:r>
      <w:r w:rsidR="004C7F4C">
        <w:rPr>
          <w:rFonts w:eastAsia="바탕"/>
          <w:sz w:val="22"/>
          <w:szCs w:val="22"/>
          <w:lang w:val="en-US" w:eastAsia="ko-KR"/>
        </w:rPr>
        <w:t xml:space="preserve"> </w:t>
      </w:r>
      <w:r w:rsidR="001771B1">
        <w:rPr>
          <w:rFonts w:eastAsia="바탕"/>
          <w:sz w:val="22"/>
          <w:szCs w:val="22"/>
          <w:lang w:val="en-US" w:eastAsia="ko-KR"/>
        </w:rPr>
        <w:t>different</w:t>
      </w:r>
      <w:r w:rsidR="004C7F4C">
        <w:rPr>
          <w:rFonts w:eastAsia="바탕"/>
          <w:sz w:val="22"/>
          <w:szCs w:val="22"/>
          <w:lang w:val="en-US" w:eastAsia="ko-KR"/>
        </w:rPr>
        <w:t xml:space="preserve"> numerolog</w:t>
      </w:r>
      <w:r w:rsidR="001771B1">
        <w:rPr>
          <w:rFonts w:eastAsia="바탕"/>
          <w:sz w:val="22"/>
          <w:szCs w:val="22"/>
          <w:lang w:val="en-US" w:eastAsia="ko-KR"/>
        </w:rPr>
        <w:t>y</w:t>
      </w:r>
      <w:r w:rsidR="004C7F4C">
        <w:rPr>
          <w:rFonts w:eastAsia="바탕"/>
          <w:sz w:val="22"/>
          <w:szCs w:val="22"/>
          <w:lang w:val="en-US" w:eastAsia="ko-KR"/>
        </w:rPr>
        <w:t xml:space="preserve"> which are used in a cell. Also, </w:t>
      </w:r>
      <w:r w:rsidR="00824A94">
        <w:rPr>
          <w:rFonts w:eastAsia="바탕"/>
          <w:sz w:val="22"/>
          <w:szCs w:val="22"/>
          <w:lang w:val="en-US" w:eastAsia="ko-KR"/>
        </w:rPr>
        <w:t xml:space="preserve">as shown in formula (1), </w:t>
      </w:r>
      <w:r w:rsidR="004C7F4C">
        <w:rPr>
          <w:rFonts w:eastAsia="바탕"/>
          <w:sz w:val="22"/>
          <w:szCs w:val="22"/>
          <w:lang w:val="en-US" w:eastAsia="ko-KR"/>
        </w:rPr>
        <w:t xml:space="preserve">companies were considering that the </w:t>
      </w:r>
      <w:r w:rsidR="00DA0A7D">
        <w:rPr>
          <w:rFonts w:eastAsia="바탕"/>
          <w:sz w:val="22"/>
          <w:szCs w:val="22"/>
          <w:lang w:val="en-US" w:eastAsia="ko-KR"/>
        </w:rPr>
        <w:t>value of</w:t>
      </w:r>
      <w:r w:rsidR="004C7F4C">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sidR="004C7F4C">
        <w:rPr>
          <w:rFonts w:eastAsia="바탕"/>
          <w:sz w:val="22"/>
          <w:szCs w:val="22"/>
          <w:lang w:val="en-US" w:eastAsia="ko-KR"/>
        </w:rPr>
        <w:t xml:space="preserve"> is derived from</w:t>
      </w:r>
      <w:r w:rsidR="00DA0A7D">
        <w:rPr>
          <w:rFonts w:eastAsia="바탕"/>
          <w:sz w:val="22"/>
          <w:szCs w:val="22"/>
          <w:lang w:val="en-US" w:eastAsia="ko-KR"/>
        </w:rPr>
        <w:t xml:space="preserve"> the center frequency of</w:t>
      </w:r>
      <w:r w:rsidR="00E83DF4">
        <w:rPr>
          <w:rFonts w:eastAsia="바탕"/>
          <w:sz w:val="22"/>
          <w:szCs w:val="22"/>
          <w:lang w:val="en-US" w:eastAsia="ko-KR"/>
        </w:rPr>
        <w:t xml:space="preserve"> </w:t>
      </w:r>
      <w:r w:rsidR="00123810">
        <w:rPr>
          <w:rFonts w:eastAsia="바탕"/>
          <w:sz w:val="22"/>
          <w:szCs w:val="22"/>
          <w:lang w:val="en-US" w:eastAsia="ko-KR"/>
        </w:rPr>
        <w:t xml:space="preserve">the </w:t>
      </w:r>
      <w:r w:rsidR="00E83DF4">
        <w:rPr>
          <w:rFonts w:eastAsia="바탕"/>
          <w:sz w:val="22"/>
          <w:szCs w:val="22"/>
          <w:lang w:val="en-US" w:eastAsia="ko-KR"/>
        </w:rPr>
        <w:t xml:space="preserve">frequency bandwidth </w:t>
      </w:r>
      <w:r w:rsidR="00DA0A7D">
        <w:rPr>
          <w:rFonts w:eastAsia="바탕" w:hint="eastAsia"/>
          <w:sz w:val="22"/>
          <w:szCs w:val="22"/>
          <w:lang w:val="en-US" w:eastAsia="ko-KR"/>
        </w:rPr>
        <w:t xml:space="preserve">with highest subcarrier spacing </w:t>
      </w:r>
      <w:r w:rsidR="00824A94">
        <w:rPr>
          <w:rFonts w:eastAsia="바탕"/>
          <w:sz w:val="22"/>
          <w:szCs w:val="22"/>
          <w:lang w:val="en-US" w:eastAsia="ko-KR"/>
        </w:rPr>
        <w:t>(</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μ</m:t>
            </m:r>
          </m:e>
          <m:sub>
            <m:r>
              <w:rPr>
                <w:rFonts w:ascii="Cambria Math" w:eastAsia="바탕" w:hAnsi="Cambria Math"/>
                <w:sz w:val="22"/>
                <w:szCs w:val="22"/>
                <w:lang w:val="en-US" w:eastAsia="ko-KR"/>
              </w:rPr>
              <m:t>0</m:t>
            </m:r>
          </m:sub>
        </m:sSub>
      </m:oMath>
      <w:r w:rsidR="00824A94">
        <w:rPr>
          <w:rFonts w:eastAsia="바탕" w:hint="eastAsia"/>
          <w:sz w:val="22"/>
          <w:szCs w:val="22"/>
          <w:lang w:val="en-US" w:eastAsia="ko-KR"/>
        </w:rPr>
        <w:t>)</w:t>
      </w:r>
      <w:r w:rsidR="00824A94">
        <w:rPr>
          <w:rFonts w:eastAsia="바탕"/>
          <w:sz w:val="22"/>
          <w:szCs w:val="22"/>
          <w:lang w:val="en-US" w:eastAsia="ko-KR"/>
        </w:rPr>
        <w:t xml:space="preserve"> </w:t>
      </w:r>
      <w:r w:rsidR="00DA0A7D">
        <w:rPr>
          <w:rFonts w:eastAsia="바탕" w:hint="eastAsia"/>
          <w:sz w:val="22"/>
          <w:szCs w:val="22"/>
          <w:lang w:val="en-US" w:eastAsia="ko-KR"/>
        </w:rPr>
        <w:t>configured in higher layer signal</w:t>
      </w:r>
      <w:r w:rsidR="00DA0A7D">
        <w:rPr>
          <w:rFonts w:eastAsia="바탕"/>
          <w:sz w:val="22"/>
          <w:szCs w:val="22"/>
          <w:lang w:val="en-US" w:eastAsia="ko-KR"/>
        </w:rPr>
        <w:t>.</w:t>
      </w:r>
      <w:r w:rsidR="00824A94">
        <w:rPr>
          <w:rFonts w:eastAsia="바탕"/>
          <w:sz w:val="22"/>
          <w:szCs w:val="22"/>
          <w:lang w:val="en-US" w:eastAsia="ko-KR"/>
        </w:rPr>
        <w:t xml:space="preserve"> </w:t>
      </w:r>
    </w:p>
    <w:p w:rsidR="00DA0A7D" w:rsidRDefault="00A9273C" w:rsidP="00DA0A7D">
      <w:pPr>
        <w:spacing w:before="100" w:beforeAutospacing="1" w:after="100" w:afterAutospacing="1" w:line="360" w:lineRule="exact"/>
        <w:ind w:left="0" w:firstLineChars="500" w:firstLine="1000"/>
        <w:rPr>
          <w:rFonts w:eastAsia="바탕"/>
          <w:sz w:val="22"/>
          <w:szCs w:val="22"/>
          <w:lang w:val="en-US" w:eastAsia="ko-KR"/>
        </w:rPr>
      </w:pPr>
      <w:r w:rsidRPr="00601425">
        <w:rPr>
          <w:position w:val="-34"/>
        </w:rPr>
        <w:object w:dxaOrig="72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40.2pt" o:ole="">
            <v:imagedata r:id="rId8" o:title=""/>
          </v:shape>
          <o:OLEObject Type="Embed" ProgID="Equation.DSMT4" ShapeID="_x0000_i1025" DrawAspect="Content" ObjectID="_1587579529" r:id="rId9"/>
        </w:object>
      </w:r>
      <w:r w:rsidR="00DA0A7D">
        <w:t xml:space="preserve">          (1)</w:t>
      </w:r>
    </w:p>
    <w:p w:rsidR="00824A94" w:rsidRDefault="00824A94" w:rsidP="002A25A3">
      <w:pPr>
        <w:spacing w:before="120" w:after="120" w:line="240" w:lineRule="auto"/>
        <w:ind w:left="0" w:firstLine="0"/>
        <w:rPr>
          <w:rFonts w:eastAsiaTheme="minorEastAsia"/>
          <w:sz w:val="22"/>
          <w:szCs w:val="22"/>
          <w:lang w:eastAsia="ko-KR"/>
        </w:rPr>
      </w:pPr>
    </w:p>
    <w:p w:rsidR="00DA0A7D" w:rsidRPr="002A25A3" w:rsidRDefault="002C5C84" w:rsidP="00824A94">
      <w:pPr>
        <w:spacing w:before="120" w:after="120" w:line="240" w:lineRule="auto"/>
        <w:ind w:left="0" w:firstLine="0"/>
        <w:rPr>
          <w:rFonts w:eastAsiaTheme="minorEastAsia"/>
          <w:sz w:val="22"/>
          <w:szCs w:val="22"/>
          <w:lang w:eastAsia="ko-KR"/>
        </w:rPr>
      </w:pPr>
      <w:r w:rsidRPr="002A25A3">
        <w:rPr>
          <w:rFonts w:eastAsiaTheme="minorEastAsia"/>
          <w:sz w:val="22"/>
          <w:szCs w:val="22"/>
          <w:lang w:eastAsia="ko-KR"/>
        </w:rPr>
        <w:t xml:space="preserve">In </w:t>
      </w:r>
      <w:r w:rsidR="00824A94">
        <w:rPr>
          <w:rFonts w:eastAsiaTheme="minorEastAsia"/>
          <w:sz w:val="22"/>
          <w:szCs w:val="22"/>
          <w:lang w:eastAsia="ko-KR"/>
        </w:rPr>
        <w:t xml:space="preserve">the </w:t>
      </w:r>
      <w:r w:rsidRPr="002A25A3">
        <w:rPr>
          <w:rFonts w:eastAsiaTheme="minorEastAsia"/>
          <w:sz w:val="22"/>
          <w:szCs w:val="22"/>
          <w:lang w:eastAsia="ko-KR"/>
        </w:rPr>
        <w:t>formula (1), the variable</w:t>
      </w:r>
      <m:oMath>
        <m:r>
          <m:rPr>
            <m:sty m:val="p"/>
          </m:rPr>
          <w:rPr>
            <w:rFonts w:ascii="Cambria Math" w:eastAsia="바탕" w:hAnsi="Cambria Math"/>
            <w:sz w:val="22"/>
            <w:szCs w:val="22"/>
            <w:lang w:val="en-US" w:eastAsia="ko-KR"/>
          </w:rPr>
          <m:t xml:space="preserve"> μ</m:t>
        </m:r>
      </m:oMath>
      <w:r w:rsidRPr="002A25A3">
        <w:rPr>
          <w:rFonts w:eastAsiaTheme="minorEastAsia"/>
          <w:sz w:val="22"/>
          <w:szCs w:val="22"/>
          <w:lang w:val="en-US" w:eastAsia="ko-KR"/>
        </w:rPr>
        <w:t>,</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w:rPr>
                <w:rFonts w:ascii="Cambria Math" w:eastAsia="바탕" w:hAnsi="Cambria Math"/>
                <w:sz w:val="22"/>
                <w:szCs w:val="22"/>
                <w:lang w:val="en-US" w:eastAsia="ko-KR"/>
              </w:rPr>
              <m:t>gird,x</m:t>
            </m:r>
          </m:sub>
          <m:sup>
            <m:r>
              <m:rPr>
                <m:sty m:val="p"/>
              </m:rPr>
              <w:rPr>
                <w:rFonts w:ascii="Cambria Math" w:eastAsia="바탕" w:hAnsi="Cambria Math"/>
                <w:sz w:val="22"/>
                <w:szCs w:val="22"/>
                <w:lang w:val="en-US" w:eastAsia="ko-KR"/>
              </w:rPr>
              <m:t>start,μ</m:t>
            </m:r>
          </m:sup>
        </m:sSubSup>
      </m:oMath>
      <w:r w:rsidRPr="002A25A3">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w:rPr>
                <w:rFonts w:ascii="Cambria Math" w:eastAsia="바탕" w:hAnsi="Cambria Math"/>
                <w:sz w:val="22"/>
                <w:szCs w:val="22"/>
                <w:lang w:val="en-US" w:eastAsia="ko-KR"/>
              </w:rPr>
              <m:t>gird,x</m:t>
            </m:r>
          </m:sub>
          <m:sup>
            <m:r>
              <m:rPr>
                <m:sty m:val="p"/>
              </m:rPr>
              <w:rPr>
                <w:rFonts w:ascii="Cambria Math" w:eastAsia="바탕" w:hAnsi="Cambria Math"/>
                <w:sz w:val="22"/>
                <w:szCs w:val="22"/>
                <w:lang w:val="en-US" w:eastAsia="ko-KR"/>
              </w:rPr>
              <m:t>size,μ</m:t>
            </m:r>
          </m:sup>
        </m:sSubSup>
      </m:oMath>
      <w:r w:rsidRPr="002A25A3">
        <w:rPr>
          <w:rFonts w:eastAsia="바탕"/>
          <w:sz w:val="22"/>
          <w:szCs w:val="22"/>
          <w:lang w:val="en-US" w:eastAsia="ko-KR"/>
        </w:rPr>
        <w:t xml:space="preserve">,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μ</m:t>
            </m:r>
          </m:e>
          <m:sub>
            <m:r>
              <w:rPr>
                <w:rFonts w:ascii="Cambria Math" w:eastAsia="바탕" w:hAnsi="Cambria Math"/>
                <w:sz w:val="22"/>
                <w:szCs w:val="22"/>
                <w:lang w:val="en-US" w:eastAsia="ko-KR"/>
              </w:rPr>
              <m:t>0</m:t>
            </m:r>
          </m:sub>
        </m:sSub>
      </m:oMath>
      <w:r w:rsidRPr="002A25A3">
        <w:rPr>
          <w:rFonts w:eastAsiaTheme="minorEastAsia"/>
          <w:sz w:val="22"/>
          <w:szCs w:val="22"/>
          <w:lang w:val="en-US" w:eastAsia="ko-KR"/>
        </w:rPr>
        <w:t>,</w:t>
      </w:r>
      <w:r w:rsidRPr="002A25A3">
        <w:rPr>
          <w:rFonts w:eastAsiaTheme="minorEastAsia"/>
          <w:sz w:val="22"/>
          <w:szCs w:val="22"/>
          <w:lang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w:rPr>
                <w:rFonts w:ascii="Cambria Math" w:eastAsia="바탕" w:hAnsi="Cambria Math"/>
                <w:sz w:val="22"/>
                <w:szCs w:val="22"/>
                <w:lang w:val="en-US" w:eastAsia="ko-KR"/>
              </w:rPr>
              <m:t>gird,x</m:t>
            </m:r>
          </m:sub>
          <m:sup>
            <m:r>
              <m:rPr>
                <m:sty m:val="p"/>
              </m:rPr>
              <w:rPr>
                <w:rFonts w:ascii="Cambria Math" w:eastAsia="바탕" w:hAnsi="Cambria Math"/>
                <w:sz w:val="22"/>
                <w:szCs w:val="22"/>
                <w:lang w:val="en-US" w:eastAsia="ko-KR"/>
              </w:rPr>
              <m:t>start,</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μ</m:t>
                </m:r>
              </m:e>
              <m:sub>
                <m:r>
                  <w:rPr>
                    <w:rFonts w:ascii="Cambria Math" w:eastAsia="바탕" w:hAnsi="Cambria Math"/>
                    <w:sz w:val="22"/>
                    <w:szCs w:val="22"/>
                    <w:lang w:val="en-US" w:eastAsia="ko-KR"/>
                  </w:rPr>
                  <m:t>0</m:t>
                </m:r>
              </m:sub>
            </m:sSub>
          </m:sup>
        </m:sSubSup>
      </m:oMath>
      <w:r w:rsidR="002A25A3">
        <w:rPr>
          <w:rFonts w:eastAsia="바탕"/>
          <w:sz w:val="22"/>
          <w:szCs w:val="22"/>
          <w:lang w:val="en-US" w:eastAsia="ko-KR"/>
        </w:rPr>
        <w:t xml:space="preserve">and </w:t>
      </w:r>
      <w:r w:rsidRPr="002A25A3">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w:rPr>
                <w:rFonts w:ascii="Cambria Math" w:eastAsia="바탕" w:hAnsi="Cambria Math"/>
                <w:sz w:val="22"/>
                <w:szCs w:val="22"/>
                <w:lang w:val="en-US" w:eastAsia="ko-KR"/>
              </w:rPr>
              <m:t>gird,x</m:t>
            </m:r>
          </m:sub>
          <m:sup>
            <m:r>
              <m:rPr>
                <m:sty m:val="p"/>
              </m:rPr>
              <w:rPr>
                <w:rFonts w:ascii="Cambria Math" w:eastAsia="바탕" w:hAnsi="Cambria Math"/>
                <w:sz w:val="22"/>
                <w:szCs w:val="22"/>
                <w:lang w:val="en-US" w:eastAsia="ko-KR"/>
              </w:rPr>
              <m:t>size,</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μ</m:t>
                </m:r>
              </m:e>
              <m:sub>
                <m:r>
                  <w:rPr>
                    <w:rFonts w:ascii="Cambria Math" w:eastAsia="바탕" w:hAnsi="Cambria Math"/>
                    <w:sz w:val="22"/>
                    <w:szCs w:val="22"/>
                    <w:lang w:val="en-US" w:eastAsia="ko-KR"/>
                  </w:rPr>
                  <m:t>0</m:t>
                </m:r>
              </m:sub>
            </m:sSub>
          </m:sup>
        </m:sSubSup>
      </m:oMath>
      <w:r w:rsidRPr="002A25A3">
        <w:rPr>
          <w:rFonts w:eastAsia="바탕"/>
          <w:sz w:val="22"/>
          <w:szCs w:val="22"/>
          <w:lang w:val="en-US" w:eastAsia="ko-KR"/>
        </w:rPr>
        <w:t xml:space="preserve"> are</w:t>
      </w:r>
      <w:r w:rsidR="002A25A3" w:rsidRPr="002A25A3">
        <w:rPr>
          <w:rFonts w:eastAsia="바탕"/>
          <w:sz w:val="22"/>
          <w:szCs w:val="22"/>
          <w:lang w:val="en-US" w:eastAsia="ko-KR"/>
        </w:rPr>
        <w:t xml:space="preserve"> provided from </w:t>
      </w:r>
      <w:r w:rsidR="002A25A3" w:rsidRPr="002A25A3">
        <w:rPr>
          <w:rFonts w:eastAsia="바탕"/>
          <w:i/>
          <w:sz w:val="22"/>
          <w:szCs w:val="22"/>
          <w:lang w:val="en-US" w:eastAsia="ko-KR"/>
        </w:rPr>
        <w:t>FrequencyInfoDL</w:t>
      </w:r>
      <w:r w:rsidR="002A25A3" w:rsidRPr="002A25A3">
        <w:rPr>
          <w:rFonts w:eastAsia="바탕"/>
          <w:sz w:val="22"/>
          <w:szCs w:val="22"/>
          <w:lang w:val="en-US" w:eastAsia="ko-KR"/>
        </w:rPr>
        <w:t xml:space="preserve"> </w:t>
      </w:r>
      <w:r w:rsidR="002A25A3">
        <w:rPr>
          <w:rFonts w:eastAsia="바탕"/>
          <w:sz w:val="22"/>
          <w:szCs w:val="22"/>
          <w:lang w:val="en-US" w:eastAsia="ko-KR"/>
        </w:rPr>
        <w:t>in RRC signal which is cell-specific parameters.</w:t>
      </w:r>
      <w:r w:rsidR="002A25A3" w:rsidRPr="002A25A3">
        <w:rPr>
          <w:rFonts w:eastAsia="바탕"/>
          <w:sz w:val="22"/>
          <w:szCs w:val="22"/>
          <w:lang w:val="en-US" w:eastAsia="ko-KR"/>
        </w:rPr>
        <w:t xml:space="preserve"> </w:t>
      </w:r>
      <w:r w:rsidR="00824A94">
        <w:rPr>
          <w:rFonts w:eastAsia="바탕"/>
          <w:sz w:val="22"/>
          <w:szCs w:val="22"/>
          <w:lang w:val="en-US" w:eastAsia="ko-KR"/>
        </w:rPr>
        <w:t>If it is defined that the center frequency of the frequency band with maximum subcarrier spacing in the cell is a reference point to derive the frequency offset, the value of</w:t>
      </w:r>
      <w:r w:rsidR="001771B1">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μ</m:t>
                </m:r>
              </m:e>
              <m:sub>
                <m:r>
                  <w:rPr>
                    <w:rFonts w:ascii="Cambria Math" w:eastAsia="바탕" w:hAnsi="Cambria Math"/>
                    <w:sz w:val="22"/>
                    <w:szCs w:val="22"/>
                    <w:lang w:val="en-US" w:eastAsia="ko-KR"/>
                  </w:rPr>
                  <m:t>0</m:t>
                </m:r>
              </m:sub>
            </m:sSub>
          </m:sup>
        </m:sSubSup>
      </m:oMath>
      <w:r w:rsidR="001771B1">
        <w:rPr>
          <w:rFonts w:eastAsia="바탕" w:hint="eastAsia"/>
          <w:sz w:val="22"/>
          <w:szCs w:val="22"/>
          <w:lang w:val="en-US" w:eastAsia="ko-KR"/>
        </w:rPr>
        <w:t xml:space="preserve"> </w:t>
      </w:r>
      <w:r w:rsidR="00824A94">
        <w:rPr>
          <w:rFonts w:eastAsia="바탕"/>
          <w:sz w:val="22"/>
          <w:szCs w:val="22"/>
          <w:lang w:val="en-US" w:eastAsia="ko-KR"/>
        </w:rPr>
        <w:t xml:space="preserve">can be </w:t>
      </w:r>
      <w:r w:rsidR="001771B1">
        <w:rPr>
          <w:rFonts w:eastAsia="바탕"/>
          <w:sz w:val="22"/>
          <w:szCs w:val="22"/>
          <w:lang w:val="en-US" w:eastAsia="ko-KR"/>
        </w:rPr>
        <w:t>‘zero’</w:t>
      </w:r>
      <w:r w:rsidR="00824A94">
        <w:rPr>
          <w:rFonts w:eastAsia="바탕"/>
          <w:sz w:val="22"/>
          <w:szCs w:val="22"/>
          <w:lang w:val="en-US" w:eastAsia="ko-KR"/>
        </w:rPr>
        <w:t xml:space="preserve">. </w:t>
      </w:r>
      <w:r w:rsidR="001771B1">
        <w:rPr>
          <w:rFonts w:eastAsia="바탕"/>
          <w:sz w:val="22"/>
          <w:szCs w:val="22"/>
          <w:lang w:val="en-US" w:eastAsia="ko-KR"/>
        </w:rPr>
        <w:t>In figure 1, we provide an example of t</w:t>
      </w:r>
      <w:r w:rsidR="001771B1" w:rsidRPr="001771B1">
        <w:rPr>
          <w:rFonts w:eastAsia="바탕"/>
          <w:sz w:val="22"/>
          <w:szCs w:val="22"/>
          <w:lang w:val="en-US" w:eastAsia="ko-KR"/>
        </w:rPr>
        <w:t xml:space="preserve">he frequency offset </w:t>
      </w:r>
      <w:r w:rsidR="00123810">
        <w:rPr>
          <w:rFonts w:eastAsia="바탕"/>
          <w:sz w:val="22"/>
          <w:szCs w:val="22"/>
          <w:lang w:val="en-US" w:eastAsia="ko-KR"/>
        </w:rPr>
        <w:t>between the</w:t>
      </w:r>
      <w:r w:rsidR="001771B1" w:rsidRPr="001771B1">
        <w:rPr>
          <w:rFonts w:eastAsia="바탕"/>
          <w:sz w:val="22"/>
          <w:szCs w:val="22"/>
          <w:lang w:val="en-US" w:eastAsia="ko-KR"/>
        </w:rPr>
        <w:t xml:space="preserve"> center frequency</w:t>
      </w:r>
      <w:r w:rsidR="00123810">
        <w:rPr>
          <w:rFonts w:eastAsia="바탕"/>
          <w:sz w:val="22"/>
          <w:szCs w:val="22"/>
          <w:lang w:val="en-US" w:eastAsia="ko-KR"/>
        </w:rPr>
        <w:t xml:space="preserve"> of the frequency bands with</w:t>
      </w:r>
      <w:r w:rsidR="001771B1" w:rsidRPr="001771B1">
        <w:rPr>
          <w:rFonts w:eastAsia="바탕"/>
          <w:sz w:val="22"/>
          <w:szCs w:val="22"/>
          <w:lang w:val="en-US" w:eastAsia="ko-KR"/>
        </w:rPr>
        <w:t xml:space="preserve"> different numerol</w:t>
      </w:r>
      <w:r w:rsidR="001771B1">
        <w:rPr>
          <w:rFonts w:eastAsia="바탕"/>
          <w:sz w:val="22"/>
          <w:szCs w:val="22"/>
          <w:lang w:val="en-US" w:eastAsia="ko-KR"/>
        </w:rPr>
        <w:t>ogy (e.g. 15kHz and 30kHz subcarrier spacing).</w:t>
      </w:r>
    </w:p>
    <w:p w:rsidR="002F412C" w:rsidRPr="002F412C" w:rsidRDefault="002F412C" w:rsidP="002F412C">
      <w:pPr>
        <w:spacing w:before="100" w:beforeAutospacing="1" w:after="100" w:afterAutospacing="1" w:line="240" w:lineRule="auto"/>
        <w:ind w:left="312" w:hangingChars="142" w:hanging="312"/>
        <w:rPr>
          <w:rFonts w:eastAsiaTheme="minorEastAsia"/>
          <w:b/>
          <w:i/>
          <w:sz w:val="22"/>
          <w:lang w:eastAsia="ko-KR"/>
        </w:rPr>
      </w:pPr>
      <w:r w:rsidRPr="002F412C">
        <w:rPr>
          <w:rFonts w:eastAsiaTheme="minorEastAsia"/>
          <w:b/>
          <w:i/>
          <w:sz w:val="22"/>
          <w:lang w:eastAsia="ko-KR"/>
        </w:rPr>
        <w:t>Proposal</w:t>
      </w:r>
      <w:r w:rsidRPr="002F412C">
        <w:rPr>
          <w:rFonts w:eastAsiaTheme="minorEastAsia" w:hint="eastAsia"/>
          <w:b/>
          <w:i/>
          <w:sz w:val="22"/>
          <w:lang w:eastAsia="ko-KR"/>
        </w:rPr>
        <w:t xml:space="preserve"> 1:</w:t>
      </w:r>
    </w:p>
    <w:p w:rsidR="0070041C" w:rsidRPr="0070041C" w:rsidRDefault="0070041C" w:rsidP="002F412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t>T</w:t>
      </w:r>
      <w:r w:rsidRPr="0070041C">
        <w:rPr>
          <w:rFonts w:ascii="Times New Roman" w:hAnsi="Times New Roman" w:cs="Times New Roman"/>
          <w:sz w:val="22"/>
          <w:szCs w:val="22"/>
        </w:rPr>
        <w:t xml:space="preserve">he variable </w:t>
      </w:r>
      <m:oMath>
        <m:sSubSup>
          <m:sSubSupPr>
            <m:ctrlPr>
              <w:rPr>
                <w:rFonts w:ascii="Cambria Math" w:hAnsi="Cambria Math" w:cs="Times New Roman"/>
                <w:sz w:val="22"/>
                <w:szCs w:val="22"/>
              </w:rPr>
            </m:ctrlPr>
          </m:sSubSupPr>
          <m:e>
            <m:r>
              <w:rPr>
                <w:rFonts w:ascii="Cambria Math" w:hAnsi="Cambria Math" w:cs="Times New Roman"/>
                <w:sz w:val="22"/>
                <w:szCs w:val="22"/>
              </w:rPr>
              <m:t>k</m:t>
            </m:r>
          </m:e>
          <m:sub>
            <m:r>
              <w:rPr>
                <w:rFonts w:ascii="Cambria Math" w:hAnsi="Cambria Math" w:cs="Times New Roman"/>
                <w:sz w:val="22"/>
                <w:szCs w:val="22"/>
              </w:rPr>
              <m:t>0</m:t>
            </m:r>
          </m:sub>
          <m:sup>
            <m:r>
              <m:rPr>
                <m:sty m:val="p"/>
              </m:rPr>
              <w:rPr>
                <w:rFonts w:ascii="Cambria Math" w:hAnsi="Cambria Math" w:cs="Times New Roman"/>
                <w:sz w:val="22"/>
                <w:szCs w:val="22"/>
              </w:rPr>
              <m:t>μ</m:t>
            </m:r>
          </m:sup>
        </m:sSubSup>
      </m:oMath>
      <w:r w:rsidRPr="0070041C">
        <w:rPr>
          <w:rFonts w:ascii="Times New Roman" w:hAnsi="Times New Roman" w:cs="Times New Roman"/>
          <w:sz w:val="22"/>
          <w:szCs w:val="22"/>
        </w:rPr>
        <w:t xml:space="preserve"> in the OFDM signal generation formula is used for the purpose to be defined as the frequency offset between the center frequency of frequency bands with different numerology which are used in a cell.</w:t>
      </w:r>
    </w:p>
    <w:p w:rsidR="002F412C" w:rsidRPr="0070041C" w:rsidRDefault="0070041C" w:rsidP="002F412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lang w:val="en-GB"/>
        </w:rPr>
        <w:t>T</w:t>
      </w:r>
      <w:r w:rsidRPr="0070041C">
        <w:rPr>
          <w:rFonts w:ascii="Times New Roman" w:hAnsi="Times New Roman" w:cs="Times New Roman"/>
          <w:sz w:val="22"/>
          <w:szCs w:val="22"/>
        </w:rPr>
        <w:t xml:space="preserve">he value of </w:t>
      </w:r>
      <m:oMath>
        <m:sSubSup>
          <m:sSubSupPr>
            <m:ctrlPr>
              <w:rPr>
                <w:rFonts w:ascii="Cambria Math" w:hAnsi="Cambria Math" w:cs="Times New Roman"/>
                <w:sz w:val="22"/>
                <w:szCs w:val="22"/>
              </w:rPr>
            </m:ctrlPr>
          </m:sSubSupPr>
          <m:e>
            <m:r>
              <w:rPr>
                <w:rFonts w:ascii="Cambria Math" w:hAnsi="Cambria Math" w:cs="Times New Roman"/>
                <w:sz w:val="22"/>
                <w:szCs w:val="22"/>
              </w:rPr>
              <m:t>k</m:t>
            </m:r>
          </m:e>
          <m:sub>
            <m:r>
              <w:rPr>
                <w:rFonts w:ascii="Cambria Math" w:hAnsi="Cambria Math" w:cs="Times New Roman"/>
                <w:sz w:val="22"/>
                <w:szCs w:val="22"/>
              </w:rPr>
              <m:t>0</m:t>
            </m:r>
          </m:sub>
          <m:sup>
            <m:r>
              <m:rPr>
                <m:sty m:val="p"/>
              </m:rPr>
              <w:rPr>
                <w:rFonts w:ascii="Cambria Math" w:hAnsi="Cambria Math" w:cs="Times New Roman"/>
                <w:sz w:val="22"/>
                <w:szCs w:val="22"/>
              </w:rPr>
              <m:t>μ</m:t>
            </m:r>
          </m:sup>
        </m:sSubSup>
      </m:oMath>
      <w:r w:rsidRPr="0070041C">
        <w:rPr>
          <w:rFonts w:ascii="Times New Roman" w:hAnsi="Times New Roman" w:cs="Times New Roman"/>
          <w:sz w:val="22"/>
          <w:szCs w:val="22"/>
        </w:rPr>
        <w:t xml:space="preserve"> is derived from the center frequency of the frequency bandwidth with highest subcarrier spacing (</w:t>
      </w:r>
      <m:oMath>
        <m:sSub>
          <m:sSubPr>
            <m:ctrlPr>
              <w:rPr>
                <w:rFonts w:ascii="Cambria Math" w:hAnsi="Cambria Math" w:cs="Times New Roman"/>
                <w:sz w:val="22"/>
                <w:szCs w:val="22"/>
              </w:rPr>
            </m:ctrlPr>
          </m:sSubPr>
          <m:e>
            <m:r>
              <m:rPr>
                <m:sty m:val="p"/>
              </m:rPr>
              <w:rPr>
                <w:rFonts w:ascii="Cambria Math" w:hAnsi="Cambria Math" w:cs="Times New Roman"/>
                <w:sz w:val="22"/>
                <w:szCs w:val="22"/>
              </w:rPr>
              <m:t>μ</m:t>
            </m:r>
          </m:e>
          <m:sub>
            <m:r>
              <w:rPr>
                <w:rFonts w:ascii="Cambria Math" w:hAnsi="Cambria Math" w:cs="Times New Roman"/>
                <w:sz w:val="22"/>
                <w:szCs w:val="22"/>
              </w:rPr>
              <m:t>0</m:t>
            </m:r>
          </m:sub>
        </m:sSub>
      </m:oMath>
      <w:r w:rsidRPr="0070041C">
        <w:rPr>
          <w:rFonts w:ascii="Times New Roman" w:hAnsi="Times New Roman" w:cs="Times New Roman"/>
          <w:sz w:val="22"/>
          <w:szCs w:val="22"/>
        </w:rPr>
        <w:t>) configured in higher layer signal</w:t>
      </w:r>
      <w:r w:rsidRPr="0070041C">
        <w:rPr>
          <w:rFonts w:ascii="Times New Roman" w:hAnsi="Times New Roman" w:cs="Times New Roman"/>
          <w:sz w:val="22"/>
          <w:szCs w:val="22"/>
        </w:rPr>
        <w:t>.</w:t>
      </w:r>
    </w:p>
    <w:p w:rsidR="0070041C" w:rsidRPr="0070041C" w:rsidRDefault="0070041C" w:rsidP="002F412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lastRenderedPageBreak/>
        <w:t>T</w:t>
      </w:r>
      <w:r w:rsidRPr="0070041C">
        <w:rPr>
          <w:rFonts w:ascii="Times New Roman" w:hAnsi="Times New Roman" w:cs="Times New Roman"/>
          <w:sz w:val="22"/>
          <w:szCs w:val="22"/>
        </w:rPr>
        <w:t xml:space="preserve">he center frequency of the frequency band with maximum subcarrier spacing in the cell is a reference point to derive the frequency offset, </w:t>
      </w:r>
      <w:r>
        <w:rPr>
          <w:rFonts w:ascii="Times New Roman" w:hAnsi="Times New Roman" w:cs="Times New Roman"/>
          <w:sz w:val="22"/>
          <w:szCs w:val="22"/>
        </w:rPr>
        <w:t xml:space="preserve">and </w:t>
      </w:r>
      <w:r w:rsidRPr="0070041C">
        <w:rPr>
          <w:rFonts w:ascii="Times New Roman" w:hAnsi="Times New Roman" w:cs="Times New Roman"/>
          <w:sz w:val="22"/>
          <w:szCs w:val="22"/>
        </w:rPr>
        <w:t xml:space="preserve">the value of </w:t>
      </w:r>
      <m:oMath>
        <m:sSubSup>
          <m:sSubSupPr>
            <m:ctrlPr>
              <w:rPr>
                <w:rFonts w:ascii="Cambria Math" w:hAnsi="Cambria Math" w:cs="Times New Roman"/>
                <w:sz w:val="22"/>
                <w:szCs w:val="22"/>
              </w:rPr>
            </m:ctrlPr>
          </m:sSubSupPr>
          <m:e>
            <m:r>
              <w:rPr>
                <w:rFonts w:ascii="Cambria Math" w:hAnsi="Cambria Math" w:cs="Times New Roman"/>
                <w:sz w:val="22"/>
                <w:szCs w:val="22"/>
              </w:rPr>
              <m:t>k</m:t>
            </m:r>
          </m:e>
          <m:sub>
            <m:r>
              <w:rPr>
                <w:rFonts w:ascii="Cambria Math" w:hAnsi="Cambria Math" w:cs="Times New Roman"/>
                <w:sz w:val="22"/>
                <w:szCs w:val="22"/>
              </w:rPr>
              <m:t>0</m:t>
            </m:r>
          </m:sub>
          <m:sup>
            <m:sSub>
              <m:sSubPr>
                <m:ctrlPr>
                  <w:rPr>
                    <w:rFonts w:ascii="Cambria Math" w:hAnsi="Cambria Math" w:cs="Times New Roman"/>
                    <w:sz w:val="22"/>
                    <w:szCs w:val="22"/>
                  </w:rPr>
                </m:ctrlPr>
              </m:sSubPr>
              <m:e>
                <m:r>
                  <m:rPr>
                    <m:sty m:val="p"/>
                  </m:rPr>
                  <w:rPr>
                    <w:rFonts w:ascii="Cambria Math" w:hAnsi="Cambria Math" w:cs="Times New Roman"/>
                    <w:sz w:val="22"/>
                    <w:szCs w:val="22"/>
                  </w:rPr>
                  <m:t>μ</m:t>
                </m:r>
              </m:e>
              <m:sub>
                <m:r>
                  <w:rPr>
                    <w:rFonts w:ascii="Cambria Math" w:hAnsi="Cambria Math" w:cs="Times New Roman"/>
                    <w:sz w:val="22"/>
                    <w:szCs w:val="22"/>
                  </w:rPr>
                  <m:t>0</m:t>
                </m:r>
              </m:sub>
            </m:sSub>
          </m:sup>
        </m:sSubSup>
      </m:oMath>
      <w:r w:rsidRPr="0070041C">
        <w:rPr>
          <w:rFonts w:ascii="Times New Roman" w:hAnsi="Times New Roman" w:cs="Times New Roman"/>
          <w:sz w:val="22"/>
          <w:szCs w:val="22"/>
        </w:rPr>
        <w:t xml:space="preserve"> </w:t>
      </w:r>
      <w:r>
        <w:rPr>
          <w:rFonts w:ascii="Times New Roman" w:hAnsi="Times New Roman" w:cs="Times New Roman"/>
          <w:sz w:val="22"/>
          <w:szCs w:val="22"/>
        </w:rPr>
        <w:t>is always</w:t>
      </w:r>
      <w:r w:rsidRPr="0070041C">
        <w:rPr>
          <w:rFonts w:ascii="Times New Roman" w:hAnsi="Times New Roman" w:cs="Times New Roman"/>
          <w:sz w:val="22"/>
          <w:szCs w:val="22"/>
        </w:rPr>
        <w:t xml:space="preserve"> ‘zero’.</w:t>
      </w:r>
    </w:p>
    <w:p w:rsidR="00D75E32" w:rsidRDefault="00D3569E" w:rsidP="00DA0A7D">
      <w:pPr>
        <w:spacing w:before="100" w:beforeAutospacing="1" w:after="100" w:afterAutospacing="1" w:line="240" w:lineRule="auto"/>
        <w:ind w:left="284" w:hangingChars="142"/>
        <w:jc w:val="center"/>
      </w:pPr>
      <w:r>
        <w:object w:dxaOrig="14106" w:dyaOrig="6813">
          <v:shape id="_x0000_i1026" type="#_x0000_t75" style="width:481.8pt;height:232.8pt" o:ole="">
            <v:imagedata r:id="rId10" o:title=""/>
          </v:shape>
          <o:OLEObject Type="Embed" ProgID="Visio.Drawing.11" ShapeID="_x0000_i1026" DrawAspect="Content" ObjectID="_1587579530" r:id="rId11"/>
        </w:object>
      </w:r>
    </w:p>
    <w:p w:rsidR="00D75E32" w:rsidRPr="00D75E32" w:rsidRDefault="00D75E32" w:rsidP="00D75E32">
      <w:pPr>
        <w:spacing w:before="100" w:beforeAutospacing="1" w:after="100" w:afterAutospacing="1" w:line="240" w:lineRule="auto"/>
        <w:ind w:left="284" w:hangingChars="142"/>
        <w:jc w:val="center"/>
        <w:rPr>
          <w:rFonts w:eastAsia="바탕"/>
          <w:b/>
          <w:sz w:val="22"/>
          <w:szCs w:val="22"/>
          <w:lang w:val="en-US" w:eastAsia="ko-KR"/>
        </w:rPr>
      </w:pPr>
      <w:r w:rsidRPr="00D75E32">
        <w:rPr>
          <w:rFonts w:eastAsia="바탕체"/>
          <w:b/>
          <w:lang w:eastAsia="ko-KR"/>
        </w:rPr>
        <w:t xml:space="preserve">Figure 1. </w:t>
      </w:r>
      <w:r w:rsidR="00123810">
        <w:rPr>
          <w:rFonts w:eastAsia="바탕체"/>
          <w:b/>
          <w:lang w:eastAsia="ko-KR"/>
        </w:rPr>
        <w:t>T</w:t>
      </w:r>
      <w:r w:rsidR="00DA0A7D">
        <w:rPr>
          <w:rFonts w:eastAsia="바탕체"/>
          <w:b/>
          <w:lang w:eastAsia="ko-KR"/>
        </w:rPr>
        <w:t xml:space="preserve">he frequency offset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sidR="00123810">
        <w:rPr>
          <w:rFonts w:eastAsia="바탕"/>
          <w:sz w:val="22"/>
          <w:szCs w:val="22"/>
          <w:lang w:val="en-US" w:eastAsia="ko-KR"/>
        </w:rPr>
        <w:t xml:space="preserve"> </w:t>
      </w:r>
      <w:r w:rsidR="00123810">
        <w:rPr>
          <w:rFonts w:eastAsia="바탕체"/>
          <w:b/>
          <w:lang w:eastAsia="ko-KR"/>
        </w:rPr>
        <w:t>between the</w:t>
      </w:r>
      <w:r w:rsidR="00DA0A7D">
        <w:rPr>
          <w:rFonts w:eastAsia="바탕체"/>
          <w:b/>
          <w:lang w:eastAsia="ko-KR"/>
        </w:rPr>
        <w:t xml:space="preserve"> center frequ</w:t>
      </w:r>
      <w:r w:rsidR="001771B1">
        <w:rPr>
          <w:rFonts w:eastAsia="바탕체"/>
          <w:b/>
          <w:lang w:eastAsia="ko-KR"/>
        </w:rPr>
        <w:t xml:space="preserve">ency </w:t>
      </w:r>
      <w:r w:rsidR="00123810">
        <w:rPr>
          <w:rFonts w:eastAsia="바탕체"/>
          <w:b/>
          <w:lang w:eastAsia="ko-KR"/>
        </w:rPr>
        <w:t>of two</w:t>
      </w:r>
      <w:r w:rsidR="009246D8">
        <w:rPr>
          <w:rFonts w:eastAsia="바탕체"/>
          <w:b/>
          <w:lang w:eastAsia="ko-KR"/>
        </w:rPr>
        <w:t xml:space="preserve"> frequency bands with </w:t>
      </w:r>
      <w:r w:rsidR="001771B1">
        <w:rPr>
          <w:rFonts w:eastAsia="바탕체"/>
          <w:b/>
          <w:lang w:eastAsia="ko-KR"/>
        </w:rPr>
        <w:t>different numerology</w:t>
      </w:r>
      <w:r w:rsidR="00917327">
        <w:rPr>
          <w:rFonts w:eastAsia="바탕체"/>
          <w:b/>
          <w:lang w:eastAsia="ko-KR"/>
        </w:rPr>
        <w:t xml:space="preserve"> (i.e. 15kHz and 30kHz SCS)</w:t>
      </w:r>
    </w:p>
    <w:p w:rsidR="002F412C" w:rsidRDefault="002F412C" w:rsidP="009D6DB6">
      <w:pPr>
        <w:spacing w:before="120" w:after="120" w:line="360" w:lineRule="exact"/>
        <w:ind w:left="0" w:firstLine="0"/>
        <w:rPr>
          <w:rFonts w:eastAsia="바탕"/>
          <w:sz w:val="22"/>
          <w:szCs w:val="22"/>
          <w:lang w:val="en-US" w:eastAsia="ko-KR"/>
        </w:rPr>
      </w:pPr>
    </w:p>
    <w:p w:rsidR="00123810" w:rsidRDefault="002C5C84" w:rsidP="009D6DB6">
      <w:pPr>
        <w:spacing w:before="120" w:after="120" w:line="360" w:lineRule="exact"/>
        <w:ind w:left="0" w:firstLine="0"/>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 xml:space="preserve">s shown in </w:t>
      </w:r>
      <w:r w:rsidR="001771B1">
        <w:rPr>
          <w:rFonts w:eastAsia="바탕"/>
          <w:sz w:val="22"/>
          <w:szCs w:val="22"/>
          <w:lang w:val="en-US" w:eastAsia="ko-KR"/>
        </w:rPr>
        <w:t>f</w:t>
      </w:r>
      <w:r>
        <w:rPr>
          <w:rFonts w:eastAsia="바탕"/>
          <w:sz w:val="22"/>
          <w:szCs w:val="22"/>
          <w:lang w:val="en-US" w:eastAsia="ko-KR"/>
        </w:rPr>
        <w:t xml:space="preserve">igure 1, </w:t>
      </w:r>
      <w:r w:rsidR="00824A94">
        <w:rPr>
          <w:rFonts w:eastAsia="바탕"/>
          <w:sz w:val="22"/>
          <w:szCs w:val="22"/>
          <w:lang w:val="en-US" w:eastAsia="ko-KR"/>
        </w:rPr>
        <w:t>we assume that the center frequency of frequency band with 30kHz SCS is reference point to derive frequency offset</w:t>
      </w:r>
      <w:r w:rsidR="00917327">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sidR="00123810">
        <w:rPr>
          <w:rFonts w:eastAsia="바탕"/>
          <w:sz w:val="22"/>
          <w:szCs w:val="22"/>
          <w:lang w:val="en-US" w:eastAsia="ko-KR"/>
        </w:rPr>
        <w:t xml:space="preserve">. So, we can </w:t>
      </w:r>
      <w:r w:rsidR="00D3569E">
        <w:rPr>
          <w:rFonts w:eastAsia="바탕"/>
          <w:sz w:val="22"/>
          <w:szCs w:val="22"/>
          <w:lang w:val="en-US" w:eastAsia="ko-KR"/>
        </w:rPr>
        <w:t>set</w:t>
      </w:r>
      <w:r w:rsidR="00123810">
        <w:rPr>
          <w:rFonts w:eastAsia="바탕"/>
          <w:sz w:val="22"/>
          <w:szCs w:val="22"/>
          <w:lang w:val="en-US" w:eastAsia="ko-KR"/>
        </w:rPr>
        <w:t xml:space="preserve"> </w:t>
      </w:r>
      <w:r w:rsidR="00D3569E">
        <w:rPr>
          <w:rFonts w:eastAsia="바탕"/>
          <w:sz w:val="22"/>
          <w:szCs w:val="22"/>
          <w:lang w:val="en-US" w:eastAsia="ko-KR"/>
        </w:rPr>
        <w:t xml:space="preserve">that </w:t>
      </w:r>
      <w:r w:rsidR="00123810">
        <w:rPr>
          <w:rFonts w:eastAsia="바탕"/>
          <w:sz w:val="22"/>
          <w:szCs w:val="22"/>
          <w:lang w:val="en-US" w:eastAsia="ko-KR"/>
        </w:rPr>
        <w:t xml:space="preserve">the value of </w:t>
      </w:r>
      <w:r w:rsidR="00917327">
        <w:rPr>
          <w:rFonts w:eastAsia="바탕"/>
          <w:sz w:val="22"/>
          <w:szCs w:val="22"/>
          <w:lang w:val="en-US" w:eastAsia="ko-KR"/>
        </w:rPr>
        <w:t xml:space="preserve">frequency offset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μ</m:t>
                </m:r>
              </m:e>
              <m:sub>
                <m:r>
                  <w:rPr>
                    <w:rFonts w:ascii="Cambria Math" w:eastAsia="바탕" w:hAnsi="Cambria Math"/>
                    <w:sz w:val="22"/>
                    <w:szCs w:val="22"/>
                    <w:lang w:val="en-US" w:eastAsia="ko-KR"/>
                  </w:rPr>
                  <m:t>0</m:t>
                </m:r>
              </m:sub>
            </m:sSub>
          </m:sup>
        </m:sSubSup>
      </m:oMath>
      <w:r w:rsidR="00123810">
        <w:rPr>
          <w:rFonts w:eastAsia="바탕" w:hint="eastAsia"/>
          <w:sz w:val="22"/>
          <w:szCs w:val="22"/>
          <w:lang w:val="en-US" w:eastAsia="ko-KR"/>
        </w:rPr>
        <w:t xml:space="preserve"> </w:t>
      </w:r>
      <w:r w:rsidR="00123810">
        <w:rPr>
          <w:rFonts w:eastAsia="바탕"/>
          <w:sz w:val="22"/>
          <w:szCs w:val="22"/>
          <w:lang w:val="en-US" w:eastAsia="ko-KR"/>
        </w:rPr>
        <w:t xml:space="preserve">is ‘0’. Also, </w:t>
      </w:r>
      <w:r w:rsidR="00D3569E">
        <w:rPr>
          <w:rFonts w:eastAsia="바탕"/>
          <w:sz w:val="22"/>
          <w:szCs w:val="22"/>
          <w:lang w:val="en-US" w:eastAsia="ko-KR"/>
        </w:rPr>
        <w:t>it can be derived</w:t>
      </w:r>
      <w:r w:rsidR="00917327">
        <w:rPr>
          <w:rFonts w:eastAsia="바탕"/>
          <w:sz w:val="22"/>
          <w:szCs w:val="22"/>
          <w:lang w:val="en-US" w:eastAsia="ko-KR"/>
        </w:rPr>
        <w:t xml:space="preserve"> that </w:t>
      </w:r>
      <w:r w:rsidR="00123810">
        <w:rPr>
          <w:rFonts w:eastAsia="바탕"/>
          <w:sz w:val="22"/>
          <w:szCs w:val="22"/>
          <w:lang w:val="en-US" w:eastAsia="ko-KR"/>
        </w:rPr>
        <w:t xml:space="preserve">the value of frequency offset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w:rPr>
                <w:rFonts w:ascii="Cambria Math" w:eastAsia="바탕" w:hAnsi="Cambria Math"/>
                <w:sz w:val="22"/>
                <w:szCs w:val="22"/>
                <w:lang w:val="en-US" w:eastAsia="ko-KR"/>
              </w:rPr>
              <m:t>0</m:t>
            </m:r>
          </m:sup>
        </m:sSubSup>
      </m:oMath>
      <w:r w:rsidR="00123810">
        <w:rPr>
          <w:rFonts w:eastAsia="바탕"/>
          <w:sz w:val="22"/>
          <w:szCs w:val="22"/>
          <w:lang w:val="en-US" w:eastAsia="ko-KR"/>
        </w:rPr>
        <w:t xml:space="preserve"> </w:t>
      </w:r>
      <w:r w:rsidR="00917327">
        <w:rPr>
          <w:rFonts w:eastAsia="바탕"/>
          <w:sz w:val="22"/>
          <w:szCs w:val="22"/>
          <w:lang w:val="en-US" w:eastAsia="ko-KR"/>
        </w:rPr>
        <w:t>from</w:t>
      </w:r>
      <w:r w:rsidR="00123810">
        <w:rPr>
          <w:rFonts w:eastAsia="바탕"/>
          <w:sz w:val="22"/>
          <w:szCs w:val="22"/>
          <w:lang w:val="en-US" w:eastAsia="ko-KR"/>
        </w:rPr>
        <w:t xml:space="preserve"> the reference point </w:t>
      </w:r>
      <w:r w:rsidR="00917327">
        <w:rPr>
          <w:rFonts w:eastAsia="바탕"/>
          <w:sz w:val="22"/>
          <w:szCs w:val="22"/>
          <w:lang w:val="en-US" w:eastAsia="ko-KR"/>
        </w:rPr>
        <w:t>to</w:t>
      </w:r>
      <w:r w:rsidR="00123810">
        <w:rPr>
          <w:rFonts w:eastAsia="바탕"/>
          <w:sz w:val="22"/>
          <w:szCs w:val="22"/>
          <w:lang w:val="en-US" w:eastAsia="ko-KR"/>
        </w:rPr>
        <w:t xml:space="preserve"> the center frequency of frequency band with 15kHz SCS is </w:t>
      </w:r>
      <w:r w:rsidR="00917327">
        <w:rPr>
          <w:rFonts w:eastAsia="바탕"/>
          <w:sz w:val="22"/>
          <w:szCs w:val="22"/>
          <w:lang w:val="en-US" w:eastAsia="ko-KR"/>
        </w:rPr>
        <w:t>6RE (=90kHz).</w:t>
      </w:r>
    </w:p>
    <w:p w:rsidR="00604E37" w:rsidRDefault="00410811" w:rsidP="00604E37">
      <w:pPr>
        <w:spacing w:before="120" w:after="120" w:line="360" w:lineRule="exact"/>
        <w:ind w:left="0" w:firstLine="0"/>
        <w:rPr>
          <w:rFonts w:eastAsia="바탕"/>
          <w:sz w:val="22"/>
          <w:szCs w:val="22"/>
          <w:lang w:val="en-US" w:eastAsia="ko-KR"/>
        </w:rPr>
      </w:pPr>
      <w:r>
        <w:rPr>
          <w:rFonts w:eastAsia="바탕"/>
          <w:sz w:val="22"/>
          <w:szCs w:val="22"/>
          <w:lang w:val="en-US" w:eastAsia="ko-KR"/>
        </w:rPr>
        <w:t xml:space="preserve">Also, in the example, we assume that </w:t>
      </w:r>
      <w:r w:rsidR="009D6DB6">
        <w:rPr>
          <w:rFonts w:eastAsia="바탕"/>
          <w:sz w:val="22"/>
          <w:szCs w:val="22"/>
          <w:lang w:val="en-US" w:eastAsia="ko-KR"/>
        </w:rPr>
        <w:t>the up-converting frequency f</w:t>
      </w:r>
      <w:r w:rsidR="009D6DB6" w:rsidRPr="009D6DB6">
        <w:rPr>
          <w:rFonts w:eastAsia="바탕"/>
          <w:sz w:val="22"/>
          <w:szCs w:val="22"/>
          <w:vertAlign w:val="subscript"/>
          <w:lang w:val="en-US" w:eastAsia="ko-KR"/>
        </w:rPr>
        <w:t>0</w:t>
      </w:r>
      <w:r w:rsidR="009D6DB6">
        <w:rPr>
          <w:rFonts w:eastAsia="바탕"/>
          <w:sz w:val="22"/>
          <w:szCs w:val="22"/>
          <w:lang w:val="en-US" w:eastAsia="ko-KR"/>
        </w:rPr>
        <w:t xml:space="preserve"> is aligned with the </w:t>
      </w:r>
      <w:r>
        <w:rPr>
          <w:rFonts w:eastAsia="바탕"/>
          <w:sz w:val="22"/>
          <w:szCs w:val="22"/>
          <w:lang w:val="en-US" w:eastAsia="ko-KR"/>
        </w:rPr>
        <w:t>center frequency of the frequency band with 30kHz SCS. In this case, the center frequency of the frequency band with 15kHz SCS is not matched with the up-converting frequency f</w:t>
      </w:r>
      <w:r w:rsidRPr="00410811">
        <w:rPr>
          <w:rFonts w:eastAsia="바탕"/>
          <w:sz w:val="22"/>
          <w:szCs w:val="22"/>
          <w:vertAlign w:val="subscript"/>
          <w:lang w:val="en-US" w:eastAsia="ko-KR"/>
        </w:rPr>
        <w:t>0</w:t>
      </w:r>
      <w:r>
        <w:rPr>
          <w:rFonts w:eastAsia="바탕"/>
          <w:sz w:val="22"/>
          <w:szCs w:val="22"/>
          <w:lang w:val="en-US" w:eastAsia="ko-KR"/>
        </w:rPr>
        <w:t xml:space="preserve">. In order to handle the mismatched frequency offset, it is not necessity for UE to operate RF retuning. </w:t>
      </w:r>
      <w:r w:rsidR="00604E37">
        <w:rPr>
          <w:rFonts w:eastAsia="바탕"/>
          <w:sz w:val="22"/>
          <w:szCs w:val="22"/>
          <w:lang w:val="en-US" w:eastAsia="ko-KR"/>
        </w:rPr>
        <w:t xml:space="preserve">We can operate the other UE implementation, which is that digital oscillator </w:t>
      </w:r>
      <w:r w:rsidR="00F64944">
        <w:rPr>
          <w:rFonts w:eastAsia="바탕"/>
          <w:sz w:val="22"/>
          <w:szCs w:val="22"/>
          <w:lang w:val="en-US" w:eastAsia="ko-KR"/>
        </w:rPr>
        <w:t xml:space="preserve">or FFT shift </w:t>
      </w:r>
      <w:r w:rsidR="00604E37">
        <w:rPr>
          <w:rFonts w:eastAsia="바탕"/>
          <w:sz w:val="22"/>
          <w:szCs w:val="22"/>
          <w:lang w:val="en-US" w:eastAsia="ko-KR"/>
        </w:rPr>
        <w:t>is used for the residual frequency shift to f</w:t>
      </w:r>
      <w:r w:rsidR="00604E37" w:rsidRPr="009D6DB6">
        <w:rPr>
          <w:rFonts w:eastAsia="바탕"/>
          <w:sz w:val="22"/>
          <w:szCs w:val="22"/>
          <w:vertAlign w:val="subscript"/>
          <w:lang w:val="en-US" w:eastAsia="ko-KR"/>
        </w:rPr>
        <w:t>0</w:t>
      </w:r>
      <w:r w:rsidR="00604E37" w:rsidRPr="00604E37">
        <w:rPr>
          <w:rFonts w:eastAsia="바탕"/>
          <w:sz w:val="22"/>
          <w:szCs w:val="22"/>
          <w:lang w:val="en-US" w:eastAsia="ko-KR"/>
        </w:rPr>
        <w:t xml:space="preserve"> </w:t>
      </w:r>
      <w:r w:rsidR="00604E37">
        <w:rPr>
          <w:rFonts w:eastAsia="바탕"/>
          <w:sz w:val="22"/>
          <w:szCs w:val="22"/>
          <w:lang w:val="en-US" w:eastAsia="ko-KR"/>
        </w:rPr>
        <w:t>in addition to up-conversion with analog oscillator.</w:t>
      </w:r>
    </w:p>
    <w:p w:rsidR="002F412C" w:rsidRPr="002F412C" w:rsidRDefault="002F412C" w:rsidP="002F412C">
      <w:pPr>
        <w:spacing w:before="100" w:beforeAutospacing="1" w:after="100" w:afterAutospacing="1" w:line="240" w:lineRule="auto"/>
        <w:ind w:left="312" w:hangingChars="142" w:hanging="312"/>
        <w:rPr>
          <w:rFonts w:eastAsiaTheme="minorEastAsia"/>
          <w:b/>
          <w:i/>
          <w:sz w:val="22"/>
          <w:lang w:eastAsia="ko-KR"/>
        </w:rPr>
      </w:pPr>
      <w:r w:rsidRPr="002F412C">
        <w:rPr>
          <w:rFonts w:eastAsiaTheme="minorEastAsia" w:hint="eastAsia"/>
          <w:b/>
          <w:i/>
          <w:sz w:val="22"/>
          <w:lang w:eastAsia="ko-KR"/>
        </w:rPr>
        <w:t xml:space="preserve">Observation </w:t>
      </w:r>
      <w:r>
        <w:rPr>
          <w:rFonts w:eastAsiaTheme="minorEastAsia"/>
          <w:b/>
          <w:i/>
          <w:sz w:val="22"/>
          <w:lang w:eastAsia="ko-KR"/>
        </w:rPr>
        <w:t>2</w:t>
      </w:r>
      <w:r w:rsidRPr="002F412C">
        <w:rPr>
          <w:rFonts w:eastAsiaTheme="minorEastAsia" w:hint="eastAsia"/>
          <w:b/>
          <w:i/>
          <w:sz w:val="22"/>
          <w:lang w:eastAsia="ko-KR"/>
        </w:rPr>
        <w:t xml:space="preserve">: </w:t>
      </w:r>
    </w:p>
    <w:p w:rsidR="002F412C" w:rsidRPr="0070041C" w:rsidRDefault="0070041C" w:rsidP="002F412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t xml:space="preserve">In order to handle the mismatched frequency offset, it is not necessity for UE to operate RF retuning. </w:t>
      </w:r>
      <w:r>
        <w:rPr>
          <w:rFonts w:ascii="Times New Roman" w:hAnsi="Times New Roman" w:cs="Times New Roman"/>
          <w:sz w:val="22"/>
          <w:szCs w:val="22"/>
        </w:rPr>
        <w:t>T</w:t>
      </w:r>
      <w:r w:rsidRPr="0070041C">
        <w:rPr>
          <w:rFonts w:ascii="Times New Roman" w:hAnsi="Times New Roman" w:cs="Times New Roman"/>
          <w:sz w:val="22"/>
          <w:szCs w:val="22"/>
        </w:rPr>
        <w:t>he other UE implementation, which is that digital oscillator or FFT shift is used for the residual frequency shift to f</w:t>
      </w:r>
      <w:r w:rsidRPr="0070041C">
        <w:rPr>
          <w:rFonts w:ascii="Times New Roman" w:hAnsi="Times New Roman" w:cs="Times New Roman"/>
          <w:sz w:val="22"/>
          <w:szCs w:val="22"/>
          <w:vertAlign w:val="subscript"/>
        </w:rPr>
        <w:t>0</w:t>
      </w:r>
      <w:r w:rsidRPr="0070041C">
        <w:rPr>
          <w:rFonts w:ascii="Times New Roman" w:hAnsi="Times New Roman" w:cs="Times New Roman"/>
          <w:sz w:val="22"/>
          <w:szCs w:val="22"/>
        </w:rPr>
        <w:t xml:space="preserve"> in addition to up-conversion with analog oscillator</w:t>
      </w:r>
      <w:r>
        <w:rPr>
          <w:rFonts w:ascii="Times New Roman" w:hAnsi="Times New Roman" w:cs="Times New Roman"/>
          <w:sz w:val="22"/>
          <w:szCs w:val="22"/>
        </w:rPr>
        <w:t>, can be applied.</w:t>
      </w:r>
    </w:p>
    <w:p w:rsidR="00D75E32" w:rsidRDefault="00D75E32" w:rsidP="00054DEC">
      <w:pPr>
        <w:spacing w:before="120" w:after="120" w:line="360" w:lineRule="exact"/>
        <w:ind w:left="0" w:firstLine="0"/>
        <w:rPr>
          <w:rFonts w:eastAsia="바탕"/>
          <w:sz w:val="22"/>
          <w:szCs w:val="22"/>
          <w:lang w:val="en-US" w:eastAsia="ko-KR"/>
        </w:rPr>
      </w:pPr>
    </w:p>
    <w:p w:rsidR="00F64944" w:rsidRDefault="002F412C" w:rsidP="009F3D18">
      <w:pPr>
        <w:spacing w:before="120" w:after="120" w:line="360" w:lineRule="exact"/>
        <w:ind w:left="0" w:firstLineChars="50" w:firstLine="110"/>
        <w:rPr>
          <w:rFonts w:eastAsia="바탕"/>
          <w:sz w:val="22"/>
          <w:szCs w:val="22"/>
          <w:lang w:val="en-US" w:eastAsia="ko-KR"/>
        </w:rPr>
      </w:pPr>
      <w:r>
        <w:rPr>
          <w:rFonts w:eastAsia="바탕"/>
          <w:sz w:val="22"/>
          <w:szCs w:val="22"/>
          <w:lang w:val="en-US" w:eastAsia="ko-KR"/>
        </w:rPr>
        <w:lastRenderedPageBreak/>
        <w:t xml:space="preserve">In multi-cell environment, </w:t>
      </w:r>
      <w:r>
        <w:rPr>
          <w:rFonts w:eastAsia="바탕" w:hint="eastAsia"/>
          <w:sz w:val="22"/>
          <w:szCs w:val="22"/>
          <w:lang w:val="en-US" w:eastAsia="ko-KR"/>
        </w:rPr>
        <w:t xml:space="preserve">the maximum </w:t>
      </w:r>
      <w:r w:rsidR="009246D8">
        <w:rPr>
          <w:rFonts w:eastAsia="바탕"/>
          <w:sz w:val="22"/>
          <w:szCs w:val="22"/>
          <w:lang w:val="en-US" w:eastAsia="ko-KR"/>
        </w:rPr>
        <w:t>subcarrier spacing for each cell could be different. That means,</w:t>
      </w:r>
      <w:r w:rsidR="00706584">
        <w:rPr>
          <w:rFonts w:eastAsia="바탕"/>
          <w:sz w:val="22"/>
          <w:szCs w:val="22"/>
          <w:lang w:val="en-US" w:eastAsia="ko-KR"/>
        </w:rPr>
        <w:t xml:space="preserve"> in handover case, </w:t>
      </w:r>
      <w:r w:rsidR="009246D8">
        <w:rPr>
          <w:rFonts w:eastAsia="바탕"/>
          <w:sz w:val="22"/>
          <w:szCs w:val="22"/>
          <w:lang w:val="en-US" w:eastAsia="ko-KR"/>
        </w:rPr>
        <w:t xml:space="preserve">the reference point </w:t>
      </w:r>
      <w:r w:rsidR="00706584">
        <w:rPr>
          <w:rFonts w:eastAsia="바탕"/>
          <w:sz w:val="22"/>
          <w:szCs w:val="22"/>
          <w:lang w:val="en-US" w:eastAsia="ko-KR"/>
        </w:rPr>
        <w:t xml:space="preserve">which is the center frequency of the frequency band </w:t>
      </w:r>
      <w:r w:rsidR="00BE4EC0">
        <w:rPr>
          <w:rFonts w:eastAsia="바탕"/>
          <w:sz w:val="22"/>
          <w:szCs w:val="22"/>
          <w:lang w:val="en-US" w:eastAsia="ko-KR"/>
        </w:rPr>
        <w:t>with</w:t>
      </w:r>
      <w:r w:rsidR="00706584">
        <w:rPr>
          <w:rFonts w:eastAsia="바탕"/>
          <w:sz w:val="22"/>
          <w:szCs w:val="22"/>
          <w:lang w:val="en-US" w:eastAsia="ko-KR"/>
        </w:rPr>
        <w:t xml:space="preserve"> maximum subcarrier spacing could be changed</w:t>
      </w:r>
      <w:r w:rsidR="00E92A6D">
        <w:rPr>
          <w:rFonts w:eastAsia="바탕"/>
          <w:sz w:val="22"/>
          <w:szCs w:val="22"/>
          <w:lang w:val="en-US" w:eastAsia="ko-KR"/>
        </w:rPr>
        <w:t xml:space="preserve"> </w:t>
      </w:r>
      <w:r w:rsidR="00BE4EC0">
        <w:rPr>
          <w:rFonts w:eastAsia="바탕"/>
          <w:sz w:val="22"/>
          <w:szCs w:val="22"/>
          <w:lang w:val="en-US" w:eastAsia="ko-KR"/>
        </w:rPr>
        <w:t>if</w:t>
      </w:r>
      <w:r w:rsidR="00E92A6D">
        <w:rPr>
          <w:rFonts w:eastAsia="바탕"/>
          <w:sz w:val="22"/>
          <w:szCs w:val="22"/>
          <w:lang w:val="en-US" w:eastAsia="ko-KR"/>
        </w:rPr>
        <w:t xml:space="preserve"> the supported maximum subcarrier spacing</w:t>
      </w:r>
      <w:r w:rsidR="00BE4EC0">
        <w:rPr>
          <w:rFonts w:eastAsia="바탕"/>
          <w:sz w:val="22"/>
          <w:szCs w:val="22"/>
          <w:lang w:val="en-US" w:eastAsia="ko-KR"/>
        </w:rPr>
        <w:t xml:space="preserve"> is different in the target cell</w:t>
      </w:r>
      <w:r w:rsidR="00706584">
        <w:rPr>
          <w:rFonts w:eastAsia="바탕"/>
          <w:sz w:val="22"/>
          <w:szCs w:val="22"/>
          <w:lang w:val="en-US" w:eastAsia="ko-KR"/>
        </w:rPr>
        <w:t xml:space="preserve">. </w:t>
      </w:r>
      <w:r w:rsidR="00BE4EC0">
        <w:rPr>
          <w:rFonts w:eastAsia="바탕"/>
          <w:sz w:val="22"/>
          <w:szCs w:val="22"/>
          <w:lang w:val="en-US" w:eastAsia="ko-KR"/>
        </w:rPr>
        <w:t>In this case, the reference point could not be aligned with the up-converting frequency f</w:t>
      </w:r>
      <w:r w:rsidR="00BE4EC0" w:rsidRPr="00BE4EC0">
        <w:rPr>
          <w:rFonts w:eastAsia="바탕"/>
          <w:sz w:val="22"/>
          <w:szCs w:val="22"/>
          <w:vertAlign w:val="subscript"/>
          <w:lang w:val="en-US" w:eastAsia="ko-KR"/>
        </w:rPr>
        <w:t>0</w:t>
      </w:r>
      <w:r w:rsidR="00BE4EC0">
        <w:rPr>
          <w:rFonts w:eastAsia="바탕"/>
          <w:sz w:val="22"/>
          <w:szCs w:val="22"/>
          <w:lang w:val="en-US" w:eastAsia="ko-KR"/>
        </w:rPr>
        <w:t>.</w:t>
      </w:r>
      <w:r w:rsidR="00706584">
        <w:rPr>
          <w:rFonts w:eastAsia="바탕"/>
          <w:sz w:val="22"/>
          <w:szCs w:val="22"/>
          <w:lang w:val="en-US" w:eastAsia="ko-KR"/>
        </w:rPr>
        <w:t xml:space="preserve"> </w:t>
      </w:r>
      <w:r w:rsidR="005F2A94">
        <w:rPr>
          <w:rFonts w:eastAsia="바탕"/>
          <w:sz w:val="22"/>
          <w:szCs w:val="22"/>
          <w:lang w:val="en-US" w:eastAsia="ko-KR"/>
        </w:rPr>
        <w:t xml:space="preserve">As observed above, </w:t>
      </w:r>
      <w:r w:rsidR="00B73184">
        <w:rPr>
          <w:rFonts w:eastAsia="바탕"/>
          <w:sz w:val="22"/>
          <w:szCs w:val="22"/>
          <w:lang w:val="en-US" w:eastAsia="ko-KR"/>
        </w:rPr>
        <w:t>UE may not be necessity to operate RF retuning. Instead, the digital oscillator</w:t>
      </w:r>
      <w:r w:rsidR="00F64944">
        <w:rPr>
          <w:rFonts w:eastAsia="바탕"/>
          <w:sz w:val="22"/>
          <w:szCs w:val="22"/>
          <w:lang w:val="en-US" w:eastAsia="ko-KR"/>
        </w:rPr>
        <w:t xml:space="preserve"> </w:t>
      </w:r>
      <w:r w:rsidR="005B0AEC">
        <w:rPr>
          <w:rFonts w:eastAsia="바탕"/>
          <w:sz w:val="22"/>
          <w:szCs w:val="22"/>
          <w:lang w:val="en-US" w:eastAsia="ko-KR"/>
        </w:rPr>
        <w:t>(</w:t>
      </w:r>
      <w:r w:rsidR="00F64944">
        <w:rPr>
          <w:rFonts w:eastAsia="바탕"/>
          <w:sz w:val="22"/>
          <w:szCs w:val="22"/>
          <w:lang w:val="en-US" w:eastAsia="ko-KR"/>
        </w:rPr>
        <w:t>or FFT shift</w:t>
      </w:r>
      <w:r w:rsidR="005B0AEC">
        <w:rPr>
          <w:rFonts w:eastAsia="바탕"/>
          <w:sz w:val="22"/>
          <w:szCs w:val="22"/>
          <w:lang w:val="en-US" w:eastAsia="ko-KR"/>
        </w:rPr>
        <w:t>)</w:t>
      </w:r>
      <w:r w:rsidR="00F64944">
        <w:rPr>
          <w:rFonts w:eastAsia="바탕"/>
          <w:sz w:val="22"/>
          <w:szCs w:val="22"/>
          <w:lang w:val="en-US" w:eastAsia="ko-KR"/>
        </w:rPr>
        <w:t xml:space="preserve"> is used for the residual frequency shift.</w:t>
      </w:r>
    </w:p>
    <w:p w:rsidR="009F3D18" w:rsidRDefault="00F64944" w:rsidP="00F64944">
      <w:pPr>
        <w:spacing w:before="100" w:beforeAutospacing="1" w:after="100" w:afterAutospacing="1" w:line="240" w:lineRule="auto"/>
        <w:ind w:left="0" w:firstLineChars="50" w:firstLine="100"/>
        <w:rPr>
          <w:rFonts w:eastAsia="바탕"/>
          <w:sz w:val="22"/>
          <w:szCs w:val="22"/>
          <w:lang w:val="en-US" w:eastAsia="ko-KR"/>
        </w:rPr>
      </w:pPr>
      <w:r>
        <w:object w:dxaOrig="14183" w:dyaOrig="3984">
          <v:shape id="_x0000_i1027" type="#_x0000_t75" style="width:481.8pt;height:135pt" o:ole="">
            <v:imagedata r:id="rId12" o:title=""/>
          </v:shape>
          <o:OLEObject Type="Embed" ProgID="Visio.Drawing.11" ShapeID="_x0000_i1027" DrawAspect="Content" ObjectID="_1587579531" r:id="rId13"/>
        </w:object>
      </w:r>
      <w:r w:rsidR="00B73184">
        <w:rPr>
          <w:rFonts w:eastAsia="바탕"/>
          <w:sz w:val="22"/>
          <w:szCs w:val="22"/>
          <w:lang w:val="en-US" w:eastAsia="ko-KR"/>
        </w:rPr>
        <w:t xml:space="preserve"> </w:t>
      </w:r>
    </w:p>
    <w:p w:rsidR="00F64944" w:rsidRPr="00D75E32" w:rsidRDefault="00F64944" w:rsidP="00F64944">
      <w:pPr>
        <w:spacing w:before="100" w:beforeAutospacing="1" w:after="100" w:afterAutospacing="1" w:line="240" w:lineRule="auto"/>
        <w:ind w:left="284" w:hangingChars="142"/>
        <w:jc w:val="center"/>
        <w:rPr>
          <w:rFonts w:eastAsia="바탕"/>
          <w:b/>
          <w:sz w:val="22"/>
          <w:szCs w:val="22"/>
          <w:lang w:val="en-US" w:eastAsia="ko-KR"/>
        </w:rPr>
      </w:pPr>
      <w:r w:rsidRPr="00D75E32">
        <w:rPr>
          <w:rFonts w:eastAsia="바탕체"/>
          <w:b/>
          <w:lang w:eastAsia="ko-KR"/>
        </w:rPr>
        <w:t xml:space="preserve">Figure 1. </w:t>
      </w:r>
      <w:r>
        <w:rPr>
          <w:rFonts w:eastAsia="바탕체"/>
          <w:b/>
          <w:lang w:eastAsia="ko-KR"/>
        </w:rPr>
        <w:t>The frequency offset between up-converting frequency and the center frequency of frequency band with maximum numerology</w:t>
      </w:r>
    </w:p>
    <w:p w:rsidR="00F64944" w:rsidRPr="00F64944" w:rsidRDefault="00F64944" w:rsidP="00F64944">
      <w:pPr>
        <w:spacing w:before="100" w:beforeAutospacing="1" w:after="100" w:afterAutospacing="1" w:line="240" w:lineRule="auto"/>
        <w:ind w:left="0" w:firstLineChars="50" w:firstLine="110"/>
        <w:rPr>
          <w:rFonts w:eastAsia="바탕"/>
          <w:sz w:val="22"/>
          <w:szCs w:val="22"/>
          <w:lang w:val="en-US" w:eastAsia="ko-KR"/>
        </w:rPr>
      </w:pPr>
    </w:p>
    <w:p w:rsidR="00B73184" w:rsidRPr="002F412C" w:rsidRDefault="00B73184" w:rsidP="0070041C">
      <w:pPr>
        <w:spacing w:before="0" w:after="0" w:line="240" w:lineRule="auto"/>
        <w:ind w:left="312" w:hangingChars="142" w:hanging="312"/>
        <w:rPr>
          <w:rFonts w:eastAsiaTheme="minorEastAsia"/>
          <w:b/>
          <w:i/>
          <w:sz w:val="22"/>
          <w:lang w:eastAsia="ko-KR"/>
        </w:rPr>
      </w:pPr>
      <w:r w:rsidRPr="002F412C">
        <w:rPr>
          <w:rFonts w:eastAsiaTheme="minorEastAsia" w:hint="eastAsia"/>
          <w:b/>
          <w:i/>
          <w:sz w:val="22"/>
          <w:lang w:eastAsia="ko-KR"/>
        </w:rPr>
        <w:t xml:space="preserve">Observation </w:t>
      </w:r>
      <w:r>
        <w:rPr>
          <w:rFonts w:eastAsiaTheme="minorEastAsia"/>
          <w:b/>
          <w:i/>
          <w:sz w:val="22"/>
          <w:lang w:eastAsia="ko-KR"/>
        </w:rPr>
        <w:t>3</w:t>
      </w:r>
      <w:r w:rsidRPr="002F412C">
        <w:rPr>
          <w:rFonts w:eastAsiaTheme="minorEastAsia" w:hint="eastAsia"/>
          <w:b/>
          <w:i/>
          <w:sz w:val="22"/>
          <w:lang w:eastAsia="ko-KR"/>
        </w:rPr>
        <w:t xml:space="preserve">: </w:t>
      </w:r>
    </w:p>
    <w:p w:rsidR="00B73184" w:rsidRPr="0070041C" w:rsidRDefault="0070041C" w:rsidP="00B73184">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Pr>
          <w:rFonts w:ascii="Times New Roman" w:hAnsi="Times New Roman" w:cs="Times New Roman"/>
          <w:sz w:val="22"/>
          <w:szCs w:val="22"/>
          <w:lang w:val="en-GB"/>
        </w:rPr>
        <w:t>I</w:t>
      </w:r>
      <w:r w:rsidRPr="0070041C">
        <w:rPr>
          <w:rFonts w:ascii="Times New Roman" w:hAnsi="Times New Roman" w:cs="Times New Roman"/>
          <w:sz w:val="22"/>
          <w:szCs w:val="22"/>
        </w:rPr>
        <w:t>n handover case, the reference point which is the center frequency of the frequency band with maximum subcarrier spacing could be changed if the supported maximum subcarrier spacing is different in the target cell. In this case, the reference point could not be aligned with the up-converting frequency f</w:t>
      </w:r>
      <w:r w:rsidRPr="0070041C">
        <w:rPr>
          <w:rFonts w:ascii="Times New Roman" w:hAnsi="Times New Roman" w:cs="Times New Roman"/>
          <w:sz w:val="22"/>
          <w:szCs w:val="22"/>
          <w:vertAlign w:val="subscript"/>
        </w:rPr>
        <w:t>0</w:t>
      </w:r>
      <w:r w:rsidRPr="0070041C">
        <w:rPr>
          <w:rFonts w:ascii="Times New Roman" w:hAnsi="Times New Roman" w:cs="Times New Roman"/>
          <w:sz w:val="22"/>
          <w:szCs w:val="22"/>
        </w:rPr>
        <w:t>.</w:t>
      </w:r>
    </w:p>
    <w:p w:rsidR="0070041C" w:rsidRPr="0070041C" w:rsidRDefault="0070041C" w:rsidP="00B73184">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t>In this case, the reference point could not be aligned with the up-converting frequency f</w:t>
      </w:r>
      <w:r w:rsidRPr="0070041C">
        <w:rPr>
          <w:rFonts w:ascii="Times New Roman" w:hAnsi="Times New Roman" w:cs="Times New Roman"/>
          <w:sz w:val="22"/>
          <w:szCs w:val="22"/>
          <w:vertAlign w:val="subscript"/>
        </w:rPr>
        <w:t>0</w:t>
      </w:r>
      <w:r w:rsidRPr="0070041C">
        <w:rPr>
          <w:rFonts w:ascii="Times New Roman" w:hAnsi="Times New Roman" w:cs="Times New Roman"/>
          <w:sz w:val="22"/>
          <w:szCs w:val="22"/>
        </w:rPr>
        <w:t xml:space="preserve">. </w:t>
      </w:r>
      <w:r>
        <w:rPr>
          <w:rFonts w:ascii="Times New Roman" w:hAnsi="Times New Roman" w:cs="Times New Roman"/>
          <w:sz w:val="22"/>
          <w:szCs w:val="22"/>
        </w:rPr>
        <w:t xml:space="preserve">So, </w:t>
      </w:r>
      <w:r w:rsidRPr="0070041C">
        <w:rPr>
          <w:rFonts w:ascii="Times New Roman" w:hAnsi="Times New Roman" w:cs="Times New Roman"/>
          <w:sz w:val="22"/>
          <w:szCs w:val="22"/>
        </w:rPr>
        <w:t xml:space="preserve">UE may </w:t>
      </w:r>
      <w:r>
        <w:rPr>
          <w:rFonts w:ascii="Times New Roman" w:hAnsi="Times New Roman" w:cs="Times New Roman"/>
          <w:sz w:val="22"/>
          <w:szCs w:val="22"/>
        </w:rPr>
        <w:t xml:space="preserve">operate </w:t>
      </w:r>
      <w:r w:rsidRPr="0070041C">
        <w:rPr>
          <w:rFonts w:ascii="Times New Roman" w:hAnsi="Times New Roman" w:cs="Times New Roman"/>
          <w:sz w:val="22"/>
          <w:szCs w:val="22"/>
        </w:rPr>
        <w:t>the digital oscillator (or FFT shift) for the residual frequency shift.</w:t>
      </w:r>
    </w:p>
    <w:p w:rsidR="006C2DEB" w:rsidRPr="003B4AF5" w:rsidRDefault="006C2DEB" w:rsidP="00116E31">
      <w:pPr>
        <w:spacing w:before="120" w:after="120" w:line="360" w:lineRule="exact"/>
        <w:ind w:left="0" w:firstLine="0"/>
        <w:rPr>
          <w:rFonts w:eastAsia="바탕"/>
          <w:sz w:val="22"/>
          <w:szCs w:val="22"/>
          <w:lang w:val="en-US" w:eastAsia="ko-KR"/>
        </w:rPr>
      </w:pPr>
    </w:p>
    <w:p w:rsidR="000036AA" w:rsidRPr="003B4AF5" w:rsidRDefault="00CA3C73" w:rsidP="000036AA">
      <w:pPr>
        <w:pStyle w:val="1"/>
        <w:numPr>
          <w:ilvl w:val="0"/>
          <w:numId w:val="2"/>
        </w:numPr>
        <w:rPr>
          <w:rFonts w:eastAsia="바탕"/>
          <w:b/>
          <w:lang w:val="en-US" w:eastAsia="ko-KR"/>
        </w:rPr>
      </w:pPr>
      <w:r w:rsidRPr="003B4AF5">
        <w:rPr>
          <w:rFonts w:eastAsia="바탕"/>
          <w:b/>
          <w:lang w:val="en-US" w:eastAsia="ko-KR"/>
        </w:rPr>
        <w:t>Conclusion</w:t>
      </w:r>
    </w:p>
    <w:p w:rsidR="00DC59B2" w:rsidRDefault="00DC59B2" w:rsidP="00137B15">
      <w:pPr>
        <w:spacing w:before="120" w:after="120" w:line="360" w:lineRule="exact"/>
        <w:ind w:left="0" w:firstLineChars="100" w:firstLine="220"/>
        <w:rPr>
          <w:rFonts w:eastAsia="바탕"/>
          <w:sz w:val="22"/>
          <w:szCs w:val="22"/>
          <w:lang w:val="en-US" w:eastAsia="ko-KR"/>
        </w:rPr>
      </w:pPr>
      <w:r w:rsidRPr="003B4AF5">
        <w:rPr>
          <w:rFonts w:eastAsia="바탕" w:hint="eastAsia"/>
          <w:sz w:val="22"/>
          <w:szCs w:val="22"/>
          <w:lang w:val="en-US" w:eastAsia="ko-KR"/>
        </w:rPr>
        <w:t>In this documentation, we discuss</w:t>
      </w:r>
      <w:r w:rsidRPr="003B4AF5">
        <w:rPr>
          <w:rFonts w:eastAsia="바탕"/>
          <w:sz w:val="22"/>
          <w:szCs w:val="22"/>
          <w:lang w:val="en-US" w:eastAsia="ko-KR"/>
        </w:rPr>
        <w:t>ed</w:t>
      </w:r>
      <w:r w:rsidRPr="003B4AF5">
        <w:rPr>
          <w:rFonts w:eastAsia="바탕" w:hint="eastAsia"/>
          <w:sz w:val="22"/>
          <w:szCs w:val="22"/>
          <w:lang w:val="en-US" w:eastAsia="ko-KR"/>
        </w:rPr>
        <w:t xml:space="preserve"> on the remaining </w:t>
      </w:r>
      <w:r w:rsidR="00137B15" w:rsidRPr="003B4AF5">
        <w:rPr>
          <w:rFonts w:eastAsia="바탕"/>
          <w:sz w:val="22"/>
          <w:szCs w:val="22"/>
          <w:lang w:val="en-US" w:eastAsia="ko-KR"/>
        </w:rPr>
        <w:t>detail</w:t>
      </w:r>
      <w:r w:rsidRPr="003B4AF5">
        <w:rPr>
          <w:rFonts w:eastAsia="바탕" w:hint="eastAsia"/>
          <w:sz w:val="22"/>
          <w:szCs w:val="22"/>
          <w:lang w:val="en-US" w:eastAsia="ko-KR"/>
        </w:rPr>
        <w:t xml:space="preserve"> </w:t>
      </w:r>
      <w:r w:rsidR="006C2DEB">
        <w:rPr>
          <w:rFonts w:eastAsia="바탕"/>
          <w:sz w:val="22"/>
          <w:szCs w:val="22"/>
          <w:lang w:val="en-US" w:eastAsia="ko-KR"/>
        </w:rPr>
        <w:t>for</w:t>
      </w:r>
      <w:r w:rsidRPr="003B4AF5">
        <w:rPr>
          <w:rFonts w:eastAsia="바탕" w:hint="eastAsia"/>
          <w:sz w:val="22"/>
          <w:szCs w:val="22"/>
          <w:lang w:val="en-US" w:eastAsia="ko-KR"/>
        </w:rPr>
        <w:t xml:space="preserve"> </w:t>
      </w:r>
      <w:r w:rsidRPr="003B4AF5">
        <w:rPr>
          <w:rFonts w:eastAsia="바탕"/>
          <w:sz w:val="22"/>
          <w:szCs w:val="22"/>
          <w:lang w:val="en-US" w:eastAsia="ko-KR"/>
        </w:rPr>
        <w:t xml:space="preserve">OFDM </w:t>
      </w:r>
      <w:r w:rsidRPr="003B4AF5">
        <w:rPr>
          <w:rFonts w:eastAsia="바탕" w:hint="eastAsia"/>
          <w:sz w:val="22"/>
          <w:szCs w:val="22"/>
          <w:lang w:val="en-US" w:eastAsia="ko-KR"/>
        </w:rPr>
        <w:t>waveform gener</w:t>
      </w:r>
      <w:r w:rsidRPr="003B4AF5">
        <w:rPr>
          <w:rFonts w:eastAsia="바탕"/>
          <w:sz w:val="22"/>
          <w:szCs w:val="22"/>
          <w:lang w:val="en-US" w:eastAsia="ko-KR"/>
        </w:rPr>
        <w:t>ation. As a conclusion, we summarize proposals as below:</w:t>
      </w:r>
    </w:p>
    <w:p w:rsidR="00D60357" w:rsidRPr="0070041C" w:rsidRDefault="0070041C" w:rsidP="0070041C">
      <w:pPr>
        <w:spacing w:before="120" w:after="120" w:line="360" w:lineRule="exact"/>
        <w:ind w:left="279" w:hangingChars="129" w:hanging="279"/>
        <w:rPr>
          <w:rFonts w:eastAsia="바탕"/>
          <w:b/>
          <w:sz w:val="22"/>
          <w:szCs w:val="22"/>
          <w:u w:val="single"/>
          <w:lang w:val="en-US" w:eastAsia="ko-KR"/>
        </w:rPr>
      </w:pPr>
      <w:r w:rsidRPr="0070041C">
        <w:rPr>
          <w:rFonts w:eastAsia="바탕" w:hint="eastAsia"/>
          <w:b/>
          <w:sz w:val="22"/>
          <w:szCs w:val="22"/>
          <w:u w:val="single"/>
          <w:lang w:val="en-US" w:eastAsia="ko-KR"/>
        </w:rPr>
        <w:t>Def</w:t>
      </w:r>
      <w:r w:rsidRPr="0070041C">
        <w:rPr>
          <w:rFonts w:eastAsia="바탕"/>
          <w:b/>
          <w:sz w:val="22"/>
          <w:szCs w:val="22"/>
          <w:u w:val="single"/>
          <w:lang w:val="en-US" w:eastAsia="ko-KR"/>
        </w:rPr>
        <w:t xml:space="preserve">inition of </w:t>
      </w:r>
      <m:oMath>
        <m:sSubSup>
          <m:sSubSupPr>
            <m:ctrlPr>
              <w:rPr>
                <w:rFonts w:ascii="Cambria Math" w:eastAsia="바탕" w:hAnsi="Cambria Math"/>
                <w:b/>
                <w:sz w:val="22"/>
                <w:szCs w:val="22"/>
                <w:u w:val="single"/>
                <w:lang w:val="en-US" w:eastAsia="ko-KR"/>
              </w:rPr>
            </m:ctrlPr>
          </m:sSubSupPr>
          <m:e>
            <m:r>
              <m:rPr>
                <m:sty m:val="bi"/>
              </m:rPr>
              <w:rPr>
                <w:rFonts w:ascii="Cambria Math" w:eastAsia="바탕" w:hAnsi="Cambria Math"/>
                <w:sz w:val="22"/>
                <w:szCs w:val="22"/>
                <w:u w:val="single"/>
                <w:lang w:val="en-US" w:eastAsia="ko-KR"/>
              </w:rPr>
              <m:t>k</m:t>
            </m:r>
          </m:e>
          <m:sub>
            <m:r>
              <m:rPr>
                <m:sty m:val="bi"/>
              </m:rPr>
              <w:rPr>
                <w:rFonts w:ascii="Cambria Math" w:eastAsia="바탕" w:hAnsi="Cambria Math"/>
                <w:sz w:val="22"/>
                <w:szCs w:val="22"/>
                <w:u w:val="single"/>
                <w:lang w:val="en-US" w:eastAsia="ko-KR"/>
              </w:rPr>
              <m:t>0</m:t>
            </m:r>
          </m:sub>
          <m:sup>
            <m:r>
              <m:rPr>
                <m:sty m:val="b"/>
              </m:rPr>
              <w:rPr>
                <w:rFonts w:ascii="Cambria Math" w:eastAsia="바탕" w:hAnsi="Cambria Math"/>
                <w:sz w:val="22"/>
                <w:szCs w:val="22"/>
                <w:u w:val="single"/>
                <w:lang w:val="en-US" w:eastAsia="ko-KR"/>
              </w:rPr>
              <m:t>μ</m:t>
            </m:r>
          </m:sup>
        </m:sSubSup>
      </m:oMath>
    </w:p>
    <w:p w:rsidR="0070041C" w:rsidRPr="002F412C" w:rsidRDefault="0070041C" w:rsidP="0070041C">
      <w:pPr>
        <w:spacing w:before="100" w:beforeAutospacing="1" w:after="100" w:afterAutospacing="1" w:line="240" w:lineRule="auto"/>
        <w:ind w:left="312" w:hangingChars="142" w:hanging="312"/>
        <w:rPr>
          <w:rFonts w:eastAsiaTheme="minorEastAsia"/>
          <w:b/>
          <w:i/>
          <w:sz w:val="22"/>
          <w:lang w:eastAsia="ko-KR"/>
        </w:rPr>
      </w:pPr>
      <w:r w:rsidRPr="002F412C">
        <w:rPr>
          <w:rFonts w:eastAsiaTheme="minorEastAsia"/>
          <w:b/>
          <w:i/>
          <w:sz w:val="22"/>
          <w:lang w:eastAsia="ko-KR"/>
        </w:rPr>
        <w:t>Proposal</w:t>
      </w:r>
      <w:r w:rsidRPr="002F412C">
        <w:rPr>
          <w:rFonts w:eastAsiaTheme="minorEastAsia" w:hint="eastAsia"/>
          <w:b/>
          <w:i/>
          <w:sz w:val="22"/>
          <w:lang w:eastAsia="ko-KR"/>
        </w:rPr>
        <w:t xml:space="preserve"> 1:</w:t>
      </w:r>
    </w:p>
    <w:p w:rsidR="0070041C" w:rsidRPr="0070041C" w:rsidRDefault="0070041C" w:rsidP="0070041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lastRenderedPageBreak/>
        <w:t xml:space="preserve">The variable </w:t>
      </w:r>
      <m:oMath>
        <m:sSubSup>
          <m:sSubSupPr>
            <m:ctrlPr>
              <w:rPr>
                <w:rFonts w:ascii="Cambria Math" w:hAnsi="Cambria Math" w:cs="Times New Roman"/>
                <w:sz w:val="22"/>
                <w:szCs w:val="22"/>
              </w:rPr>
            </m:ctrlPr>
          </m:sSubSupPr>
          <m:e>
            <m:r>
              <w:rPr>
                <w:rFonts w:ascii="Cambria Math" w:hAnsi="Cambria Math" w:cs="Times New Roman"/>
                <w:sz w:val="22"/>
                <w:szCs w:val="22"/>
              </w:rPr>
              <m:t>k</m:t>
            </m:r>
          </m:e>
          <m:sub>
            <m:r>
              <w:rPr>
                <w:rFonts w:ascii="Cambria Math" w:hAnsi="Cambria Math" w:cs="Times New Roman"/>
                <w:sz w:val="22"/>
                <w:szCs w:val="22"/>
              </w:rPr>
              <m:t>0</m:t>
            </m:r>
          </m:sub>
          <m:sup>
            <m:r>
              <m:rPr>
                <m:sty m:val="p"/>
              </m:rPr>
              <w:rPr>
                <w:rFonts w:ascii="Cambria Math" w:hAnsi="Cambria Math" w:cs="Times New Roman"/>
                <w:sz w:val="22"/>
                <w:szCs w:val="22"/>
              </w:rPr>
              <m:t>μ</m:t>
            </m:r>
          </m:sup>
        </m:sSubSup>
      </m:oMath>
      <w:r w:rsidRPr="0070041C">
        <w:rPr>
          <w:rFonts w:ascii="Times New Roman" w:hAnsi="Times New Roman" w:cs="Times New Roman"/>
          <w:sz w:val="22"/>
          <w:szCs w:val="22"/>
        </w:rPr>
        <w:t xml:space="preserve"> in the OFDM signal generation formula is used for the purpose to be defined as the frequency offset between the center frequency of frequency bands with different numerology which are used in a cell.</w:t>
      </w:r>
    </w:p>
    <w:p w:rsidR="0070041C" w:rsidRPr="0070041C" w:rsidRDefault="0070041C" w:rsidP="0070041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lang w:val="en-GB"/>
        </w:rPr>
        <w:t>T</w:t>
      </w:r>
      <w:r w:rsidRPr="0070041C">
        <w:rPr>
          <w:rFonts w:ascii="Times New Roman" w:hAnsi="Times New Roman" w:cs="Times New Roman"/>
          <w:sz w:val="22"/>
          <w:szCs w:val="22"/>
        </w:rPr>
        <w:t xml:space="preserve">he value of </w:t>
      </w:r>
      <m:oMath>
        <m:sSubSup>
          <m:sSubSupPr>
            <m:ctrlPr>
              <w:rPr>
                <w:rFonts w:ascii="Cambria Math" w:hAnsi="Cambria Math" w:cs="Times New Roman"/>
                <w:sz w:val="22"/>
                <w:szCs w:val="22"/>
              </w:rPr>
            </m:ctrlPr>
          </m:sSubSupPr>
          <m:e>
            <m:r>
              <w:rPr>
                <w:rFonts w:ascii="Cambria Math" w:hAnsi="Cambria Math" w:cs="Times New Roman"/>
                <w:sz w:val="22"/>
                <w:szCs w:val="22"/>
              </w:rPr>
              <m:t>k</m:t>
            </m:r>
          </m:e>
          <m:sub>
            <m:r>
              <w:rPr>
                <w:rFonts w:ascii="Cambria Math" w:hAnsi="Cambria Math" w:cs="Times New Roman"/>
                <w:sz w:val="22"/>
                <w:szCs w:val="22"/>
              </w:rPr>
              <m:t>0</m:t>
            </m:r>
          </m:sub>
          <m:sup>
            <m:r>
              <m:rPr>
                <m:sty m:val="p"/>
              </m:rPr>
              <w:rPr>
                <w:rFonts w:ascii="Cambria Math" w:hAnsi="Cambria Math" w:cs="Times New Roman"/>
                <w:sz w:val="22"/>
                <w:szCs w:val="22"/>
              </w:rPr>
              <m:t>μ</m:t>
            </m:r>
          </m:sup>
        </m:sSubSup>
      </m:oMath>
      <w:r w:rsidRPr="0070041C">
        <w:rPr>
          <w:rFonts w:ascii="Times New Roman" w:hAnsi="Times New Roman" w:cs="Times New Roman"/>
          <w:sz w:val="22"/>
          <w:szCs w:val="22"/>
        </w:rPr>
        <w:t xml:space="preserve"> is derived from the center frequency of the freque</w:t>
      </w:r>
      <w:bookmarkStart w:id="3" w:name="_GoBack"/>
      <w:bookmarkEnd w:id="3"/>
      <w:r w:rsidRPr="0070041C">
        <w:rPr>
          <w:rFonts w:ascii="Times New Roman" w:hAnsi="Times New Roman" w:cs="Times New Roman"/>
          <w:sz w:val="22"/>
          <w:szCs w:val="22"/>
        </w:rPr>
        <w:t>ncy bandwidth with highest subcarrier spacing (</w:t>
      </w:r>
      <m:oMath>
        <m:sSub>
          <m:sSubPr>
            <m:ctrlPr>
              <w:rPr>
                <w:rFonts w:ascii="Cambria Math" w:hAnsi="Cambria Math" w:cs="Times New Roman"/>
                <w:sz w:val="22"/>
                <w:szCs w:val="22"/>
              </w:rPr>
            </m:ctrlPr>
          </m:sSubPr>
          <m:e>
            <m:r>
              <m:rPr>
                <m:sty m:val="p"/>
              </m:rPr>
              <w:rPr>
                <w:rFonts w:ascii="Cambria Math" w:hAnsi="Cambria Math" w:cs="Times New Roman"/>
                <w:sz w:val="22"/>
                <w:szCs w:val="22"/>
              </w:rPr>
              <m:t>μ</m:t>
            </m:r>
          </m:e>
          <m:sub>
            <m:r>
              <w:rPr>
                <w:rFonts w:ascii="Cambria Math" w:hAnsi="Cambria Math" w:cs="Times New Roman"/>
                <w:sz w:val="22"/>
                <w:szCs w:val="22"/>
              </w:rPr>
              <m:t>0</m:t>
            </m:r>
          </m:sub>
        </m:sSub>
      </m:oMath>
      <w:r w:rsidRPr="0070041C">
        <w:rPr>
          <w:rFonts w:ascii="Times New Roman" w:hAnsi="Times New Roman" w:cs="Times New Roman"/>
          <w:sz w:val="22"/>
          <w:szCs w:val="22"/>
        </w:rPr>
        <w:t>) configured in higher layer signal.</w:t>
      </w:r>
    </w:p>
    <w:p w:rsidR="0070041C" w:rsidRPr="0070041C" w:rsidRDefault="0070041C" w:rsidP="0070041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t xml:space="preserve">The center frequency of the frequency band with maximum subcarrier spacing in the cell is a reference point to derive the frequency offset, </w:t>
      </w:r>
      <w:r>
        <w:rPr>
          <w:rFonts w:ascii="Times New Roman" w:hAnsi="Times New Roman" w:cs="Times New Roman"/>
          <w:sz w:val="22"/>
          <w:szCs w:val="22"/>
        </w:rPr>
        <w:t xml:space="preserve">and </w:t>
      </w:r>
      <w:r w:rsidRPr="0070041C">
        <w:rPr>
          <w:rFonts w:ascii="Times New Roman" w:hAnsi="Times New Roman" w:cs="Times New Roman"/>
          <w:sz w:val="22"/>
          <w:szCs w:val="22"/>
        </w:rPr>
        <w:t xml:space="preserve">the value of </w:t>
      </w:r>
      <m:oMath>
        <m:sSubSup>
          <m:sSubSupPr>
            <m:ctrlPr>
              <w:rPr>
                <w:rFonts w:ascii="Cambria Math" w:hAnsi="Cambria Math" w:cs="Times New Roman"/>
                <w:sz w:val="22"/>
                <w:szCs w:val="22"/>
              </w:rPr>
            </m:ctrlPr>
          </m:sSubSupPr>
          <m:e>
            <m:r>
              <w:rPr>
                <w:rFonts w:ascii="Cambria Math" w:hAnsi="Cambria Math" w:cs="Times New Roman"/>
                <w:sz w:val="22"/>
                <w:szCs w:val="22"/>
              </w:rPr>
              <m:t>k</m:t>
            </m:r>
          </m:e>
          <m:sub>
            <m:r>
              <w:rPr>
                <w:rFonts w:ascii="Cambria Math" w:hAnsi="Cambria Math" w:cs="Times New Roman"/>
                <w:sz w:val="22"/>
                <w:szCs w:val="22"/>
              </w:rPr>
              <m:t>0</m:t>
            </m:r>
          </m:sub>
          <m:sup>
            <m:sSub>
              <m:sSubPr>
                <m:ctrlPr>
                  <w:rPr>
                    <w:rFonts w:ascii="Cambria Math" w:hAnsi="Cambria Math" w:cs="Times New Roman"/>
                    <w:sz w:val="22"/>
                    <w:szCs w:val="22"/>
                  </w:rPr>
                </m:ctrlPr>
              </m:sSubPr>
              <m:e>
                <m:r>
                  <m:rPr>
                    <m:sty m:val="p"/>
                  </m:rPr>
                  <w:rPr>
                    <w:rFonts w:ascii="Cambria Math" w:hAnsi="Cambria Math" w:cs="Times New Roman"/>
                    <w:sz w:val="22"/>
                    <w:szCs w:val="22"/>
                  </w:rPr>
                  <m:t>μ</m:t>
                </m:r>
              </m:e>
              <m:sub>
                <m:r>
                  <w:rPr>
                    <w:rFonts w:ascii="Cambria Math" w:hAnsi="Cambria Math" w:cs="Times New Roman"/>
                    <w:sz w:val="22"/>
                    <w:szCs w:val="22"/>
                  </w:rPr>
                  <m:t>0</m:t>
                </m:r>
              </m:sub>
            </m:sSub>
          </m:sup>
        </m:sSubSup>
      </m:oMath>
      <w:r w:rsidRPr="0070041C">
        <w:rPr>
          <w:rFonts w:ascii="Times New Roman" w:hAnsi="Times New Roman" w:cs="Times New Roman"/>
          <w:sz w:val="22"/>
          <w:szCs w:val="22"/>
        </w:rPr>
        <w:t xml:space="preserve"> </w:t>
      </w:r>
      <w:r>
        <w:rPr>
          <w:rFonts w:ascii="Times New Roman" w:hAnsi="Times New Roman" w:cs="Times New Roman"/>
          <w:sz w:val="22"/>
          <w:szCs w:val="22"/>
        </w:rPr>
        <w:t>is always</w:t>
      </w:r>
      <w:r w:rsidRPr="0070041C">
        <w:rPr>
          <w:rFonts w:ascii="Times New Roman" w:hAnsi="Times New Roman" w:cs="Times New Roman"/>
          <w:sz w:val="22"/>
          <w:szCs w:val="22"/>
        </w:rPr>
        <w:t xml:space="preserve"> ‘zero’.</w:t>
      </w:r>
    </w:p>
    <w:p w:rsidR="00192463" w:rsidRPr="0070041C" w:rsidRDefault="0070041C" w:rsidP="005E4ED1">
      <w:pPr>
        <w:spacing w:before="120" w:after="120" w:line="360" w:lineRule="exact"/>
        <w:ind w:left="0" w:firstLine="0"/>
        <w:rPr>
          <w:rFonts w:eastAsia="바탕"/>
          <w:b/>
          <w:sz w:val="22"/>
          <w:szCs w:val="22"/>
          <w:u w:val="single"/>
          <w:lang w:val="en-US" w:eastAsia="ko-KR"/>
        </w:rPr>
      </w:pPr>
      <w:r w:rsidRPr="0070041C">
        <w:rPr>
          <w:rFonts w:eastAsia="바탕" w:hint="eastAsia"/>
          <w:b/>
          <w:sz w:val="22"/>
          <w:szCs w:val="22"/>
          <w:u w:val="single"/>
          <w:lang w:val="en-US" w:eastAsia="ko-KR"/>
        </w:rPr>
        <w:t>UE implementation</w:t>
      </w:r>
      <w:r>
        <w:rPr>
          <w:rFonts w:eastAsia="바탕"/>
          <w:b/>
          <w:sz w:val="22"/>
          <w:szCs w:val="22"/>
          <w:u w:val="single"/>
          <w:lang w:val="en-US" w:eastAsia="ko-KR"/>
        </w:rPr>
        <w:t xml:space="preserve"> for residual frequency shift</w:t>
      </w:r>
    </w:p>
    <w:p w:rsidR="0070041C" w:rsidRPr="002F412C" w:rsidRDefault="0070041C" w:rsidP="0070041C">
      <w:pPr>
        <w:spacing w:before="100" w:beforeAutospacing="1" w:after="100" w:afterAutospacing="1" w:line="240" w:lineRule="auto"/>
        <w:ind w:left="312" w:hangingChars="142" w:hanging="312"/>
        <w:rPr>
          <w:rFonts w:eastAsiaTheme="minorEastAsia"/>
          <w:b/>
          <w:i/>
          <w:sz w:val="22"/>
          <w:lang w:eastAsia="ko-KR"/>
        </w:rPr>
      </w:pPr>
      <w:r w:rsidRPr="002F412C">
        <w:rPr>
          <w:rFonts w:eastAsiaTheme="minorEastAsia" w:hint="eastAsia"/>
          <w:b/>
          <w:i/>
          <w:sz w:val="22"/>
          <w:lang w:eastAsia="ko-KR"/>
        </w:rPr>
        <w:t xml:space="preserve">Observation </w:t>
      </w:r>
      <w:r>
        <w:rPr>
          <w:rFonts w:eastAsiaTheme="minorEastAsia"/>
          <w:b/>
          <w:i/>
          <w:sz w:val="22"/>
          <w:lang w:eastAsia="ko-KR"/>
        </w:rPr>
        <w:t>2</w:t>
      </w:r>
      <w:r w:rsidRPr="002F412C">
        <w:rPr>
          <w:rFonts w:eastAsiaTheme="minorEastAsia" w:hint="eastAsia"/>
          <w:b/>
          <w:i/>
          <w:sz w:val="22"/>
          <w:lang w:eastAsia="ko-KR"/>
        </w:rPr>
        <w:t xml:space="preserve">: </w:t>
      </w:r>
    </w:p>
    <w:p w:rsidR="0070041C" w:rsidRPr="0070041C" w:rsidRDefault="0070041C" w:rsidP="0070041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t xml:space="preserve">In order to handle the mismatched frequency offset, it is not necessity for UE to operate RF retuning. </w:t>
      </w:r>
      <w:r>
        <w:rPr>
          <w:rFonts w:ascii="Times New Roman" w:hAnsi="Times New Roman" w:cs="Times New Roman"/>
          <w:sz w:val="22"/>
          <w:szCs w:val="22"/>
        </w:rPr>
        <w:t>T</w:t>
      </w:r>
      <w:r w:rsidRPr="0070041C">
        <w:rPr>
          <w:rFonts w:ascii="Times New Roman" w:hAnsi="Times New Roman" w:cs="Times New Roman"/>
          <w:sz w:val="22"/>
          <w:szCs w:val="22"/>
        </w:rPr>
        <w:t>he other UE implementation, which is that digital oscillator or FFT shift is used for the residual frequency shift to f</w:t>
      </w:r>
      <w:r w:rsidRPr="0070041C">
        <w:rPr>
          <w:rFonts w:ascii="Times New Roman" w:hAnsi="Times New Roman" w:cs="Times New Roman"/>
          <w:sz w:val="22"/>
          <w:szCs w:val="22"/>
          <w:vertAlign w:val="subscript"/>
        </w:rPr>
        <w:t>0</w:t>
      </w:r>
      <w:r w:rsidRPr="0070041C">
        <w:rPr>
          <w:rFonts w:ascii="Times New Roman" w:hAnsi="Times New Roman" w:cs="Times New Roman"/>
          <w:sz w:val="22"/>
          <w:szCs w:val="22"/>
        </w:rPr>
        <w:t xml:space="preserve"> in addition to up-conversion with analog oscillator</w:t>
      </w:r>
      <w:r>
        <w:rPr>
          <w:rFonts w:ascii="Times New Roman" w:hAnsi="Times New Roman" w:cs="Times New Roman"/>
          <w:sz w:val="22"/>
          <w:szCs w:val="22"/>
        </w:rPr>
        <w:t>, can be applied.</w:t>
      </w:r>
    </w:p>
    <w:p w:rsidR="0070041C" w:rsidRPr="002F412C" w:rsidRDefault="0070041C" w:rsidP="0070041C">
      <w:pPr>
        <w:spacing w:before="0" w:after="0" w:line="240" w:lineRule="auto"/>
        <w:ind w:left="312" w:hangingChars="142" w:hanging="312"/>
        <w:rPr>
          <w:rFonts w:eastAsiaTheme="minorEastAsia"/>
          <w:b/>
          <w:i/>
          <w:sz w:val="22"/>
          <w:lang w:eastAsia="ko-KR"/>
        </w:rPr>
      </w:pPr>
      <w:r w:rsidRPr="002F412C">
        <w:rPr>
          <w:rFonts w:eastAsiaTheme="minorEastAsia" w:hint="eastAsia"/>
          <w:b/>
          <w:i/>
          <w:sz w:val="22"/>
          <w:lang w:eastAsia="ko-KR"/>
        </w:rPr>
        <w:t xml:space="preserve">Observation </w:t>
      </w:r>
      <w:r>
        <w:rPr>
          <w:rFonts w:eastAsiaTheme="minorEastAsia"/>
          <w:b/>
          <w:i/>
          <w:sz w:val="22"/>
          <w:lang w:eastAsia="ko-KR"/>
        </w:rPr>
        <w:t>3</w:t>
      </w:r>
      <w:r w:rsidRPr="002F412C">
        <w:rPr>
          <w:rFonts w:eastAsiaTheme="minorEastAsia" w:hint="eastAsia"/>
          <w:b/>
          <w:i/>
          <w:sz w:val="22"/>
          <w:lang w:eastAsia="ko-KR"/>
        </w:rPr>
        <w:t xml:space="preserve">: </w:t>
      </w:r>
    </w:p>
    <w:p w:rsidR="0070041C" w:rsidRPr="0070041C" w:rsidRDefault="0070041C" w:rsidP="0070041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Pr>
          <w:rFonts w:ascii="Times New Roman" w:hAnsi="Times New Roman" w:cs="Times New Roman"/>
          <w:sz w:val="22"/>
          <w:szCs w:val="22"/>
          <w:lang w:val="en-GB"/>
        </w:rPr>
        <w:t>I</w:t>
      </w:r>
      <w:r w:rsidRPr="0070041C">
        <w:rPr>
          <w:rFonts w:ascii="Times New Roman" w:hAnsi="Times New Roman" w:cs="Times New Roman"/>
          <w:sz w:val="22"/>
          <w:szCs w:val="22"/>
        </w:rPr>
        <w:t>n handover case, the reference point which is the center frequency of the frequency band with maximum subcarrier spacing could be changed if the supported maximum subcarrier spacing is different in the target cell. In this case, the reference point could not be aligned with the up-converting frequency f</w:t>
      </w:r>
      <w:r w:rsidRPr="0070041C">
        <w:rPr>
          <w:rFonts w:ascii="Times New Roman" w:hAnsi="Times New Roman" w:cs="Times New Roman"/>
          <w:sz w:val="22"/>
          <w:szCs w:val="22"/>
          <w:vertAlign w:val="subscript"/>
        </w:rPr>
        <w:t>0</w:t>
      </w:r>
      <w:r w:rsidRPr="0070041C">
        <w:rPr>
          <w:rFonts w:ascii="Times New Roman" w:hAnsi="Times New Roman" w:cs="Times New Roman"/>
          <w:sz w:val="22"/>
          <w:szCs w:val="22"/>
        </w:rPr>
        <w:t>.</w:t>
      </w:r>
    </w:p>
    <w:p w:rsidR="0070041C" w:rsidRPr="0070041C" w:rsidRDefault="0070041C" w:rsidP="0070041C">
      <w:pPr>
        <w:pStyle w:val="ad"/>
        <w:numPr>
          <w:ilvl w:val="0"/>
          <w:numId w:val="50"/>
        </w:numPr>
        <w:spacing w:before="100" w:beforeAutospacing="1" w:after="100" w:afterAutospacing="1" w:line="240" w:lineRule="auto"/>
        <w:ind w:leftChars="0"/>
        <w:rPr>
          <w:rFonts w:ascii="Times New Roman" w:eastAsiaTheme="minorEastAsia" w:hAnsi="Times New Roman" w:cs="Times New Roman"/>
          <w:sz w:val="22"/>
        </w:rPr>
      </w:pPr>
      <w:r w:rsidRPr="0070041C">
        <w:rPr>
          <w:rFonts w:ascii="Times New Roman" w:hAnsi="Times New Roman" w:cs="Times New Roman"/>
          <w:sz w:val="22"/>
          <w:szCs w:val="22"/>
        </w:rPr>
        <w:t>In this case, the reference point could not be aligned with the up-converting frequency f</w:t>
      </w:r>
      <w:r w:rsidRPr="0070041C">
        <w:rPr>
          <w:rFonts w:ascii="Times New Roman" w:hAnsi="Times New Roman" w:cs="Times New Roman"/>
          <w:sz w:val="22"/>
          <w:szCs w:val="22"/>
          <w:vertAlign w:val="subscript"/>
        </w:rPr>
        <w:t>0</w:t>
      </w:r>
      <w:r w:rsidRPr="0070041C">
        <w:rPr>
          <w:rFonts w:ascii="Times New Roman" w:hAnsi="Times New Roman" w:cs="Times New Roman"/>
          <w:sz w:val="22"/>
          <w:szCs w:val="22"/>
        </w:rPr>
        <w:t xml:space="preserve">. </w:t>
      </w:r>
      <w:r>
        <w:rPr>
          <w:rFonts w:ascii="Times New Roman" w:hAnsi="Times New Roman" w:cs="Times New Roman"/>
          <w:sz w:val="22"/>
          <w:szCs w:val="22"/>
        </w:rPr>
        <w:t xml:space="preserve">So, </w:t>
      </w:r>
      <w:r w:rsidRPr="0070041C">
        <w:rPr>
          <w:rFonts w:ascii="Times New Roman" w:hAnsi="Times New Roman" w:cs="Times New Roman"/>
          <w:sz w:val="22"/>
          <w:szCs w:val="22"/>
        </w:rPr>
        <w:t xml:space="preserve">UE may </w:t>
      </w:r>
      <w:r>
        <w:rPr>
          <w:rFonts w:ascii="Times New Roman" w:hAnsi="Times New Roman" w:cs="Times New Roman"/>
          <w:sz w:val="22"/>
          <w:szCs w:val="22"/>
        </w:rPr>
        <w:t xml:space="preserve">operate </w:t>
      </w:r>
      <w:r w:rsidRPr="0070041C">
        <w:rPr>
          <w:rFonts w:ascii="Times New Roman" w:hAnsi="Times New Roman" w:cs="Times New Roman"/>
          <w:sz w:val="22"/>
          <w:szCs w:val="22"/>
        </w:rPr>
        <w:t>the digital oscillator (or FFT shift) for the residual frequency shift.</w:t>
      </w:r>
    </w:p>
    <w:p w:rsidR="0070041C" w:rsidRPr="0070041C" w:rsidRDefault="0070041C" w:rsidP="005E4ED1">
      <w:pPr>
        <w:spacing w:before="120" w:after="120" w:line="360" w:lineRule="exact"/>
        <w:ind w:left="0" w:firstLine="0"/>
        <w:rPr>
          <w:rFonts w:eastAsia="바탕" w:hint="eastAsia"/>
          <w:sz w:val="22"/>
          <w:szCs w:val="22"/>
          <w:lang w:val="en-US" w:eastAsia="ko-KR"/>
        </w:rPr>
      </w:pPr>
    </w:p>
    <w:p w:rsidR="00ED6E4A" w:rsidRPr="003B4AF5" w:rsidRDefault="00ED6E4A" w:rsidP="00ED6E4A">
      <w:pPr>
        <w:pStyle w:val="1"/>
        <w:numPr>
          <w:ilvl w:val="0"/>
          <w:numId w:val="2"/>
        </w:numPr>
        <w:spacing w:before="180"/>
        <w:rPr>
          <w:rFonts w:eastAsia="바탕"/>
          <w:b/>
          <w:lang w:val="en-US" w:eastAsia="ko-KR"/>
        </w:rPr>
      </w:pPr>
      <w:r w:rsidRPr="003B4AF5">
        <w:rPr>
          <w:rFonts w:eastAsia="바탕"/>
          <w:b/>
          <w:lang w:val="en-US" w:eastAsia="ko-KR"/>
        </w:rPr>
        <w:t>Reference</w:t>
      </w:r>
    </w:p>
    <w:p w:rsidR="001E0FB7" w:rsidRDefault="001E0FB7" w:rsidP="001E0FB7">
      <w:pPr>
        <w:pStyle w:val="References"/>
        <w:tabs>
          <w:tab w:val="clear" w:pos="6031"/>
        </w:tabs>
        <w:ind w:left="851" w:hanging="425"/>
        <w:rPr>
          <w:rFonts w:eastAsia="맑은 고딕"/>
          <w:szCs w:val="22"/>
          <w:lang w:eastAsia="ko-KR"/>
        </w:rPr>
      </w:pPr>
      <w:r w:rsidRPr="003B4AF5">
        <w:rPr>
          <w:rFonts w:eastAsia="맑은 고딕" w:hint="eastAsia"/>
          <w:szCs w:val="22"/>
          <w:lang w:eastAsia="ko-KR"/>
        </w:rPr>
        <w:t>RAN1</w:t>
      </w:r>
      <w:r w:rsidR="006C2DEB">
        <w:rPr>
          <w:rFonts w:eastAsia="맑은 고딕"/>
          <w:szCs w:val="22"/>
          <w:lang w:eastAsia="ko-KR"/>
        </w:rPr>
        <w:t xml:space="preserve">#92bis </w:t>
      </w:r>
      <w:r w:rsidRPr="003B4AF5">
        <w:rPr>
          <w:rFonts w:eastAsia="맑은 고딕" w:hint="eastAsia"/>
          <w:szCs w:val="22"/>
          <w:lang w:eastAsia="ko-KR"/>
        </w:rPr>
        <w:t>meeting Chairman</w:t>
      </w:r>
      <w:r w:rsidRPr="003B4AF5">
        <w:rPr>
          <w:rFonts w:eastAsia="맑은 고딕"/>
          <w:szCs w:val="22"/>
          <w:lang w:eastAsia="ko-KR"/>
        </w:rPr>
        <w:t>’</w:t>
      </w:r>
      <w:r w:rsidRPr="003B4AF5">
        <w:rPr>
          <w:rFonts w:eastAsia="맑은 고딕" w:hint="eastAsia"/>
          <w:szCs w:val="22"/>
          <w:lang w:eastAsia="ko-KR"/>
        </w:rPr>
        <w:t xml:space="preserve">s note </w:t>
      </w:r>
    </w:p>
    <w:p w:rsidR="005A180B" w:rsidRDefault="005A180B" w:rsidP="00F34679">
      <w:pPr>
        <w:ind w:left="0" w:firstLine="0"/>
        <w:rPr>
          <w:sz w:val="22"/>
          <w:szCs w:val="22"/>
        </w:rPr>
      </w:pPr>
    </w:p>
    <w:p w:rsidR="005A180B" w:rsidRPr="003B4AF5" w:rsidRDefault="005A180B" w:rsidP="005A180B">
      <w:pPr>
        <w:pStyle w:val="1"/>
        <w:numPr>
          <w:ilvl w:val="0"/>
          <w:numId w:val="0"/>
        </w:numPr>
        <w:spacing w:before="180"/>
        <w:ind w:left="425" w:hanging="425"/>
        <w:rPr>
          <w:rFonts w:eastAsia="바탕"/>
          <w:b/>
          <w:lang w:val="en-US" w:eastAsia="ko-KR"/>
        </w:rPr>
      </w:pPr>
      <w:r w:rsidRPr="003B4AF5">
        <w:rPr>
          <w:rFonts w:eastAsia="바탕"/>
          <w:b/>
          <w:lang w:val="en-US" w:eastAsia="ko-KR"/>
        </w:rPr>
        <w:t xml:space="preserve">Appendix </w:t>
      </w:r>
      <w:r w:rsidR="00F25E87">
        <w:rPr>
          <w:rFonts w:eastAsia="바탕"/>
          <w:b/>
          <w:lang w:val="en-US" w:eastAsia="ko-KR"/>
        </w:rPr>
        <w:t>A</w:t>
      </w:r>
      <w:r w:rsidRPr="003B4AF5">
        <w:rPr>
          <w:rFonts w:eastAsia="바탕"/>
          <w:b/>
          <w:lang w:val="en-US" w:eastAsia="ko-KR"/>
        </w:rPr>
        <w:t>. Previous agreement</w:t>
      </w:r>
    </w:p>
    <w:p w:rsidR="005A180B" w:rsidRPr="003B4AF5" w:rsidRDefault="005A180B" w:rsidP="005A180B">
      <w:pPr>
        <w:spacing w:before="0" w:after="0" w:line="240" w:lineRule="auto"/>
        <w:ind w:leftChars="-1" w:left="-2" w:firstLine="0"/>
        <w:rPr>
          <w:b/>
          <w:u w:val="single"/>
          <w:lang w:val="en-US" w:eastAsia="ja-JP"/>
        </w:rPr>
      </w:pPr>
    </w:p>
    <w:p w:rsidR="005A180B" w:rsidRPr="003B4AF5" w:rsidRDefault="005A180B" w:rsidP="005A180B">
      <w:pPr>
        <w:spacing w:before="0" w:after="0" w:line="240" w:lineRule="auto"/>
        <w:ind w:leftChars="-1" w:left="-2" w:firstLine="0"/>
        <w:rPr>
          <w:b/>
          <w:sz w:val="22"/>
          <w:szCs w:val="22"/>
          <w:u w:val="single"/>
          <w:lang w:val="en-US" w:eastAsia="ja-JP"/>
        </w:rPr>
      </w:pPr>
      <w:r w:rsidRPr="003B4AF5">
        <w:rPr>
          <w:b/>
          <w:sz w:val="22"/>
          <w:szCs w:val="22"/>
          <w:u w:val="single"/>
          <w:lang w:val="en-US" w:eastAsia="ja-JP"/>
        </w:rPr>
        <w:t>Agreements:</w:t>
      </w:r>
      <w:r w:rsidRPr="003B4AF5">
        <w:rPr>
          <w:b/>
          <w:sz w:val="22"/>
          <w:szCs w:val="22"/>
          <w:lang w:val="en-US" w:eastAsia="ja-JP"/>
        </w:rPr>
        <w:t xml:space="preserve"> (RAN1</w:t>
      </w:r>
      <w:r w:rsidR="006C2DEB">
        <w:rPr>
          <w:b/>
          <w:sz w:val="22"/>
          <w:szCs w:val="22"/>
          <w:lang w:val="en-US" w:eastAsia="ja-JP"/>
        </w:rPr>
        <w:t>#92bis</w:t>
      </w:r>
      <w:r w:rsidRPr="003B4AF5">
        <w:rPr>
          <w:b/>
          <w:sz w:val="22"/>
          <w:szCs w:val="22"/>
          <w:lang w:val="en-US" w:eastAsia="ja-JP"/>
        </w:rPr>
        <w:t>) [1]</w:t>
      </w:r>
    </w:p>
    <w:p w:rsidR="00F76F95" w:rsidRPr="00FE40F9" w:rsidRDefault="00F76F95" w:rsidP="00F76F95">
      <w:pPr>
        <w:ind w:left="0" w:firstLine="0"/>
      </w:pPr>
      <w:r w:rsidRPr="00FE40F9">
        <w:rPr>
          <w:highlight w:val="green"/>
        </w:rPr>
        <w:t>Agreements</w:t>
      </w:r>
      <w:r w:rsidRPr="00FE40F9">
        <w:t>:</w:t>
      </w:r>
    </w:p>
    <w:p w:rsidR="00F76F95" w:rsidRPr="00F76F95" w:rsidRDefault="00F76F95" w:rsidP="00F76F95">
      <w:pPr>
        <w:numPr>
          <w:ilvl w:val="0"/>
          <w:numId w:val="46"/>
        </w:numPr>
        <w:spacing w:before="0" w:after="0" w:line="240" w:lineRule="auto"/>
        <w:jc w:val="left"/>
        <w:rPr>
          <w:lang w:val="en-US"/>
        </w:rPr>
      </w:pPr>
      <w:r w:rsidRPr="00F76F95">
        <w:rPr>
          <w:lang w:val="en-US"/>
        </w:rPr>
        <w:t>The working assumption made in RAN1 AdHoc#1 on OFDM signal generation is confirmed</w:t>
      </w:r>
    </w:p>
    <w:p w:rsidR="00F76F95" w:rsidRDefault="00F76F95" w:rsidP="00F76F95">
      <w:pPr>
        <w:ind w:left="0" w:firstLine="0"/>
      </w:pPr>
      <w:r w:rsidRPr="006D6BED">
        <w:rPr>
          <w:b/>
          <w:u w:val="single"/>
        </w:rPr>
        <w:t>Conclusion</w:t>
      </w:r>
      <w:r>
        <w:t>:</w:t>
      </w:r>
    </w:p>
    <w:p w:rsidR="00F76F95" w:rsidRPr="00F0466F" w:rsidRDefault="00F76F95" w:rsidP="00F76F95">
      <w:pPr>
        <w:numPr>
          <w:ilvl w:val="0"/>
          <w:numId w:val="47"/>
        </w:numPr>
        <w:overflowPunct w:val="0"/>
        <w:autoSpaceDE w:val="0"/>
        <w:autoSpaceDN w:val="0"/>
        <w:adjustRightInd w:val="0"/>
        <w:spacing w:before="0" w:after="120" w:line="240" w:lineRule="auto"/>
        <w:textAlignment w:val="baseline"/>
        <w:rPr>
          <w:lang w:val="en-US"/>
        </w:rPr>
      </w:pPr>
      <w:r>
        <w:rPr>
          <w:lang w:val="en-US"/>
        </w:rPr>
        <w:t xml:space="preserve">It is RAN1’s understanding that the </w:t>
      </w:r>
      <w:r w:rsidRPr="00E82B94">
        <w:rPr>
          <w:i/>
          <w:sz w:val="22"/>
          <w:lang w:val="en-US"/>
        </w:rPr>
        <w:t>f</w:t>
      </w:r>
      <w:r w:rsidRPr="00E82B94">
        <w:rPr>
          <w:sz w:val="22"/>
          <w:vertAlign w:val="subscript"/>
          <w:lang w:val="en-US"/>
        </w:rPr>
        <w:t>0</w:t>
      </w:r>
      <w:r>
        <w:rPr>
          <w:lang w:val="en-US"/>
        </w:rPr>
        <w:t xml:space="preserve"> does not have to be on the channel raster nor the center of the RF filter</w:t>
      </w:r>
    </w:p>
    <w:p w:rsidR="00F76F95" w:rsidRDefault="00F76F95" w:rsidP="00E20780">
      <w:pPr>
        <w:ind w:left="0" w:firstLine="0"/>
      </w:pPr>
    </w:p>
    <w:p w:rsidR="00E20780" w:rsidRPr="003B4AF5" w:rsidRDefault="00E20780" w:rsidP="00E20780">
      <w:pPr>
        <w:pStyle w:val="1"/>
        <w:numPr>
          <w:ilvl w:val="0"/>
          <w:numId w:val="0"/>
        </w:numPr>
        <w:spacing w:before="180"/>
        <w:ind w:left="425" w:hanging="425"/>
        <w:rPr>
          <w:rFonts w:eastAsia="바탕"/>
          <w:b/>
          <w:lang w:val="en-US" w:eastAsia="ko-KR"/>
        </w:rPr>
      </w:pPr>
      <w:r w:rsidRPr="003B4AF5">
        <w:rPr>
          <w:rFonts w:eastAsia="바탕"/>
          <w:b/>
          <w:lang w:val="en-US" w:eastAsia="ko-KR"/>
        </w:rPr>
        <w:lastRenderedPageBreak/>
        <w:t xml:space="preserve">Appendix </w:t>
      </w:r>
      <w:r>
        <w:rPr>
          <w:rFonts w:eastAsia="바탕"/>
          <w:b/>
          <w:lang w:val="en-US" w:eastAsia="ko-KR"/>
        </w:rPr>
        <w:t>B</w:t>
      </w:r>
      <w:r w:rsidRPr="003B4AF5">
        <w:rPr>
          <w:rFonts w:eastAsia="바탕"/>
          <w:b/>
          <w:lang w:val="en-US" w:eastAsia="ko-KR"/>
        </w:rPr>
        <w:t xml:space="preserve">. </w:t>
      </w:r>
      <w:r>
        <w:rPr>
          <w:rFonts w:eastAsia="바탕"/>
          <w:b/>
          <w:lang w:val="en-US" w:eastAsia="ko-KR"/>
        </w:rPr>
        <w:t>TS38.311-f10</w:t>
      </w:r>
    </w:p>
    <w:p w:rsidR="00E20780" w:rsidRPr="00524A24" w:rsidRDefault="00E20780" w:rsidP="00E20780">
      <w:pPr>
        <w:pStyle w:val="3"/>
        <w:ind w:leftChars="90" w:left="480" w:hangingChars="150" w:hanging="300"/>
        <w:rPr>
          <w:rFonts w:ascii="Times New Roman" w:eastAsia="굴림" w:hAnsi="Times New Roman"/>
        </w:rPr>
      </w:pPr>
      <w:bookmarkStart w:id="4" w:name="_Toc510519304"/>
      <w:r w:rsidRPr="00524A24">
        <w:rPr>
          <w:rFonts w:ascii="Times New Roman" w:hAnsi="Times New Roman"/>
        </w:rPr>
        <w:t>5.3.1</w:t>
      </w:r>
      <w:r w:rsidRPr="00524A24">
        <w:rPr>
          <w:rFonts w:ascii="Times New Roman" w:hAnsi="Times New Roman"/>
        </w:rPr>
        <w:tab/>
        <w:t>OFDM baseband signal generation for all channels except PRACH</w:t>
      </w:r>
      <w:bookmarkEnd w:id="4"/>
    </w:p>
    <w:p w:rsidR="00E20780" w:rsidRDefault="00E20780" w:rsidP="00E20780">
      <w:pPr>
        <w:ind w:left="567" w:firstLine="0"/>
      </w:pPr>
      <w:r>
        <w:t xml:space="preserve">The time-continuous signal </w:t>
      </w:r>
      <w:r>
        <w:rPr>
          <w:rFonts w:eastAsiaTheme="minorEastAsia"/>
          <w:position w:val="-12"/>
        </w:rPr>
        <w:object w:dxaOrig="790" w:dyaOrig="410">
          <v:shape id="_x0000_i1028" type="#_x0000_t75" style="width:39.6pt;height:20.4pt" o:ole="">
            <v:imagedata r:id="rId14" o:title=""/>
          </v:shape>
          <o:OLEObject Type="Embed" ProgID="Equation.3" ShapeID="_x0000_i1028" DrawAspect="Content" ObjectID="_1587579532" r:id="rId15"/>
        </w:object>
      </w:r>
      <w:r>
        <w:t xml:space="preserve"> on antenna port </w:t>
      </w:r>
      <w:r>
        <w:rPr>
          <w:rFonts w:eastAsiaTheme="minorEastAsia"/>
          <w:position w:val="-10"/>
        </w:rPr>
        <w:object w:dxaOrig="200" w:dyaOrig="240">
          <v:shape id="_x0000_i1029" type="#_x0000_t75" style="width:10.2pt;height:12pt" o:ole="">
            <v:imagedata r:id="rId16" o:title=""/>
          </v:shape>
          <o:OLEObject Type="Embed" ProgID="Equation.3" ShapeID="_x0000_i1029" DrawAspect="Content" ObjectID="_1587579533" r:id="rId17"/>
        </w:object>
      </w:r>
      <w:r>
        <w:t xml:space="preserve"> and subcarrier spacing configuration </w:t>
      </w:r>
      <w:r>
        <w:rPr>
          <w:rFonts w:eastAsiaTheme="minorEastAsia"/>
          <w:position w:val="-10"/>
        </w:rPr>
        <w:object w:dxaOrig="230" w:dyaOrig="260">
          <v:shape id="_x0000_i1030" type="#_x0000_t75" style="width:11.4pt;height:12.6pt" o:ole="">
            <v:imagedata r:id="rId18" o:title=""/>
          </v:shape>
          <o:OLEObject Type="Embed" ProgID="Equation.3" ShapeID="_x0000_i1030" DrawAspect="Content" ObjectID="_1587579534" r:id="rId19"/>
        </w:object>
      </w:r>
      <w:r>
        <w:t xml:space="preserve"> for OFDM symbol </w:t>
      </w:r>
      <w:r>
        <w:rPr>
          <w:rFonts w:eastAsiaTheme="minorEastAsia"/>
          <w:position w:val="-14"/>
        </w:rPr>
        <w:object w:dxaOrig="2400" w:dyaOrig="380">
          <v:shape id="_x0000_i1031" type="#_x0000_t75" style="width:120pt;height:19.2pt" o:ole="">
            <v:imagedata r:id="rId20" o:title=""/>
          </v:shape>
          <o:OLEObject Type="Embed" ProgID="Equation.DSMT4" ShapeID="_x0000_i1031" DrawAspect="Content" ObjectID="_1587579535" r:id="rId21"/>
        </w:object>
      </w:r>
      <w:r>
        <w:t xml:space="preserve"> in a subframe for any physical channel or signal except PRACH is defined by</w:t>
      </w:r>
    </w:p>
    <w:p w:rsidR="00E20780" w:rsidRDefault="00E20780" w:rsidP="00E20780">
      <w:pPr>
        <w:pStyle w:val="EQ"/>
      </w:pPr>
      <w:r>
        <w:tab/>
      </w:r>
      <w:r>
        <w:rPr>
          <w:position w:val="-30"/>
        </w:rPr>
        <w:object w:dxaOrig="5180" w:dyaOrig="810">
          <v:shape id="_x0000_i1032" type="#_x0000_t75" style="width:259.8pt;height:40.2pt" o:ole="">
            <v:imagedata r:id="rId22" o:title=""/>
          </v:shape>
          <o:OLEObject Type="Embed" ProgID="Equation.3" ShapeID="_x0000_i1032" DrawAspect="Content" ObjectID="_1587579536" r:id="rId23"/>
        </w:object>
      </w:r>
    </w:p>
    <w:p w:rsidR="00E20780" w:rsidRDefault="00E20780" w:rsidP="00E20780">
      <w:r>
        <w:t xml:space="preserve">where </w:t>
      </w:r>
      <w:r>
        <w:rPr>
          <w:rFonts w:eastAsiaTheme="minorEastAsia"/>
          <w:position w:val="-14"/>
        </w:rPr>
        <w:object w:dxaOrig="2750" w:dyaOrig="380">
          <v:shape id="_x0000_i1033" type="#_x0000_t75" style="width:137.4pt;height:19.2pt" o:ole="">
            <v:imagedata r:id="rId24" o:title=""/>
          </v:shape>
          <o:OLEObject Type="Embed" ProgID="Equation.3" ShapeID="_x0000_i1033" DrawAspect="Content" ObjectID="_1587579537" r:id="rId25"/>
        </w:object>
      </w:r>
      <w:r>
        <w:t xml:space="preserve"> is the time within the subframe, </w:t>
      </w:r>
    </w:p>
    <w:p w:rsidR="00E20780" w:rsidRDefault="00E20780" w:rsidP="00E20780">
      <w:pPr>
        <w:pStyle w:val="EQ"/>
        <w:jc w:val="center"/>
      </w:pPr>
      <w:r>
        <w:rPr>
          <w:position w:val="-64"/>
        </w:rPr>
        <w:object w:dxaOrig="5470" w:dyaOrig="1380">
          <v:shape id="_x0000_i1034" type="#_x0000_t75" style="width:273.6pt;height:69.6pt" o:ole="">
            <v:imagedata r:id="rId26" o:title=""/>
          </v:shape>
          <o:OLEObject Type="Embed" ProgID="Equation.3" ShapeID="_x0000_i1034" DrawAspect="Content" ObjectID="_1587579538" r:id="rId27"/>
        </w:object>
      </w:r>
    </w:p>
    <w:p w:rsidR="00E20780" w:rsidRDefault="00E20780" w:rsidP="00E20780">
      <w:pPr>
        <w:ind w:left="567" w:firstLine="0"/>
      </w:pPr>
      <w:r>
        <w:rPr>
          <w:rFonts w:eastAsiaTheme="minorEastAsia"/>
          <w:position w:val="-10"/>
        </w:rPr>
        <w:object w:dxaOrig="300" w:dyaOrig="300">
          <v:shape id="_x0000_i1035" type="#_x0000_t75" style="width:15pt;height:15pt" o:ole="">
            <v:imagedata r:id="rId28" o:title=""/>
          </v:shape>
          <o:OLEObject Type="Embed" ProgID="Equation.3" ShapeID="_x0000_i1035" DrawAspect="Content" ObjectID="_1587579539" r:id="rId29"/>
        </w:object>
      </w:r>
      <w:r>
        <w:t xml:space="preserve"> is given by clause 4.2, and </w:t>
      </w:r>
      <w:r>
        <w:rPr>
          <w:rFonts w:eastAsiaTheme="minorEastAsia"/>
          <w:position w:val="-10"/>
        </w:rPr>
        <w:object w:dxaOrig="230" w:dyaOrig="240">
          <v:shape id="_x0000_i1036" type="#_x0000_t75" style="width:11.4pt;height:12pt" o:ole="">
            <v:imagedata r:id="rId30" o:title=""/>
          </v:shape>
          <o:OLEObject Type="Embed" ProgID="Equation.3" ShapeID="_x0000_i1036" DrawAspect="Content" ObjectID="_1587579540" r:id="rId31"/>
        </w:object>
      </w:r>
      <w:r>
        <w:t xml:space="preserve"> is the subcarrier spacing configuration. The starting position of OFDM symbol </w:t>
      </w:r>
      <w:r>
        <w:rPr>
          <w:rFonts w:eastAsiaTheme="minorEastAsia"/>
          <w:position w:val="-6"/>
        </w:rPr>
        <w:object w:dxaOrig="130" w:dyaOrig="260">
          <v:shape id="_x0000_i1037" type="#_x0000_t75" style="width:6.6pt;height:12.6pt" o:ole="">
            <v:imagedata r:id="rId32" o:title=""/>
          </v:shape>
          <o:OLEObject Type="Embed" ProgID="Equation.3" ShapeID="_x0000_i1037" DrawAspect="Content" ObjectID="_1587579541" r:id="rId33"/>
        </w:object>
      </w:r>
      <w:r>
        <w:t xml:space="preserve"> for subcarrier spacing configuration </w:t>
      </w:r>
      <w:r>
        <w:rPr>
          <w:rFonts w:eastAsiaTheme="minorEastAsia"/>
          <w:position w:val="-10"/>
        </w:rPr>
        <w:object w:dxaOrig="230" w:dyaOrig="260">
          <v:shape id="_x0000_i1038" type="#_x0000_t75" style="width:11.4pt;height:12.6pt" o:ole="">
            <v:imagedata r:id="rId18" o:title=""/>
          </v:shape>
          <o:OLEObject Type="Embed" ProgID="Equation.3" ShapeID="_x0000_i1038" DrawAspect="Content" ObjectID="_1587579542" r:id="rId34"/>
        </w:object>
      </w:r>
      <w:r>
        <w:t>in a subframe is given by</w:t>
      </w:r>
    </w:p>
    <w:p w:rsidR="00E20780" w:rsidRDefault="00E20780" w:rsidP="00E20780">
      <w:pPr>
        <w:pStyle w:val="EQ"/>
        <w:jc w:val="center"/>
      </w:pPr>
      <w:r>
        <w:rPr>
          <w:position w:val="-28"/>
        </w:rPr>
        <w:object w:dxaOrig="3870" w:dyaOrig="640">
          <v:shape id="_x0000_i1039" type="#_x0000_t75" style="width:193.8pt;height:31.8pt" o:ole="">
            <v:imagedata r:id="rId35" o:title=""/>
          </v:shape>
          <o:OLEObject Type="Embed" ProgID="Equation.3" ShapeID="_x0000_i1039" DrawAspect="Content" ObjectID="_1587579543" r:id="rId36"/>
        </w:object>
      </w:r>
    </w:p>
    <w:p w:rsidR="00E20780" w:rsidRDefault="00E20780" w:rsidP="00E20780"/>
    <w:p w:rsidR="00E20780" w:rsidRDefault="00E20780" w:rsidP="00E20780">
      <w:pPr>
        <w:ind w:left="567" w:firstLine="0"/>
      </w:pPr>
      <w:r>
        <w:t xml:space="preserve">The value of </w:t>
      </w:r>
      <w:r>
        <w:rPr>
          <w:rFonts w:eastAsiaTheme="minorEastAsia"/>
          <w:position w:val="-12"/>
        </w:rPr>
        <w:object w:dxaOrig="1290" w:dyaOrig="350">
          <v:shape id="_x0000_i1040" type="#_x0000_t75" style="width:64.2pt;height:17.4pt" o:ole="">
            <v:imagedata r:id="rId37" o:title=""/>
          </v:shape>
          <o:OLEObject Type="Embed" ProgID="Equation.DSMT4" ShapeID="_x0000_i1040" DrawAspect="Content" ObjectID="_1587579544" r:id="rId38"/>
        </w:object>
      </w:r>
      <w:r>
        <w:t xml:space="preserve"> is obtained from the higher-layer parameter </w:t>
      </w:r>
      <w:r>
        <w:rPr>
          <w:i/>
        </w:rPr>
        <w:t>k0</w:t>
      </w:r>
      <w:r>
        <w:t xml:space="preserve"> and is such that the lowest numbered subcarrier in a common resource block for subcarrier spacing configuration </w:t>
      </w:r>
      <w:r>
        <w:rPr>
          <w:rFonts w:eastAsiaTheme="minorEastAsia"/>
          <w:position w:val="-10"/>
        </w:rPr>
        <w:object w:dxaOrig="230" w:dyaOrig="260">
          <v:shape id="_x0000_i1041" type="#_x0000_t75" style="width:11.4pt;height:12.6pt" o:ole="">
            <v:imagedata r:id="rId39" o:title=""/>
          </v:shape>
          <o:OLEObject Type="Embed" ProgID="Equation.3" ShapeID="_x0000_i1041" DrawAspect="Content" ObjectID="_1587579545" r:id="rId40"/>
        </w:object>
      </w:r>
      <w:r>
        <w:t xml:space="preserve"> coincides with the lowest numbered subcarrier in a common resource block for any subcarrier spacing configuration less than </w:t>
      </w:r>
      <w:r>
        <w:rPr>
          <w:rFonts w:eastAsiaTheme="minorEastAsia"/>
          <w:position w:val="-10"/>
        </w:rPr>
        <w:object w:dxaOrig="230" w:dyaOrig="260">
          <v:shape id="_x0000_i1042" type="#_x0000_t75" style="width:11.4pt;height:12.6pt" o:ole="">
            <v:imagedata r:id="rId18" o:title=""/>
          </v:shape>
          <o:OLEObject Type="Embed" ProgID="Equation.3" ShapeID="_x0000_i1042" DrawAspect="Content" ObjectID="_1587579546" r:id="rId41"/>
        </w:object>
      </w:r>
      <w:r>
        <w:t>.</w:t>
      </w:r>
    </w:p>
    <w:p w:rsidR="005A180B" w:rsidRPr="00E20780" w:rsidRDefault="005A180B" w:rsidP="00F34679">
      <w:pPr>
        <w:ind w:left="0" w:firstLine="0"/>
        <w:rPr>
          <w:sz w:val="22"/>
          <w:szCs w:val="22"/>
        </w:rPr>
      </w:pPr>
    </w:p>
    <w:sectPr w:rsidR="005A180B" w:rsidRPr="00E2078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E68" w:rsidRDefault="00EB4E68" w:rsidP="00CB15B0">
      <w:pPr>
        <w:spacing w:before="0" w:after="0" w:line="240" w:lineRule="auto"/>
      </w:pPr>
      <w:r>
        <w:separator/>
      </w:r>
    </w:p>
  </w:endnote>
  <w:endnote w:type="continuationSeparator" w:id="0">
    <w:p w:rsidR="00EB4E68" w:rsidRDefault="00EB4E6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E68" w:rsidRDefault="00EB4E68" w:rsidP="00CB15B0">
      <w:pPr>
        <w:spacing w:before="0" w:after="0" w:line="240" w:lineRule="auto"/>
      </w:pPr>
      <w:r>
        <w:separator/>
      </w:r>
    </w:p>
  </w:footnote>
  <w:footnote w:type="continuationSeparator" w:id="0">
    <w:p w:rsidR="00EB4E68" w:rsidRDefault="00EB4E6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D7C8A"/>
    <w:multiLevelType w:val="hybridMultilevel"/>
    <w:tmpl w:val="0C7C4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A71DE7"/>
    <w:multiLevelType w:val="hybridMultilevel"/>
    <w:tmpl w:val="BB0C2A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3515AD"/>
    <w:multiLevelType w:val="hybridMultilevel"/>
    <w:tmpl w:val="690A0F1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F71ECC"/>
    <w:multiLevelType w:val="hybridMultilevel"/>
    <w:tmpl w:val="EFC4B910"/>
    <w:lvl w:ilvl="0" w:tplc="6E0AF71E">
      <w:start w:val="1"/>
      <w:numFmt w:val="bullet"/>
      <w:lvlText w:val=""/>
      <w:lvlJc w:val="left"/>
      <w:pPr>
        <w:ind w:left="800" w:hanging="400"/>
      </w:pPr>
      <w:rPr>
        <w:rFonts w:ascii="Wingdings" w:hAnsi="Wingdings" w:hint="default"/>
      </w:rPr>
    </w:lvl>
    <w:lvl w:ilvl="1" w:tplc="AD507D4C">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570F79"/>
    <w:multiLevelType w:val="hybridMultilevel"/>
    <w:tmpl w:val="98649CD4"/>
    <w:lvl w:ilvl="0" w:tplc="5B6E27A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716930"/>
    <w:multiLevelType w:val="hybridMultilevel"/>
    <w:tmpl w:val="2DC2C9C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03FCC"/>
    <w:multiLevelType w:val="hybridMultilevel"/>
    <w:tmpl w:val="BABC6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E2507DB"/>
    <w:multiLevelType w:val="hybridMultilevel"/>
    <w:tmpl w:val="61F8F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7">
    <w:nsid w:val="2FCA19BB"/>
    <w:multiLevelType w:val="hybridMultilevel"/>
    <w:tmpl w:val="882A31E4"/>
    <w:lvl w:ilvl="0" w:tplc="5B6E27A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0F2621B"/>
    <w:multiLevelType w:val="hybridMultilevel"/>
    <w:tmpl w:val="FCB682C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19E2FA9"/>
    <w:multiLevelType w:val="hybridMultilevel"/>
    <w:tmpl w:val="C9DC80E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B0B59C0"/>
    <w:multiLevelType w:val="hybridMultilevel"/>
    <w:tmpl w:val="AD88E5C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07C22C4"/>
    <w:multiLevelType w:val="hybridMultilevel"/>
    <w:tmpl w:val="E70E8C50"/>
    <w:lvl w:ilvl="0" w:tplc="4E36F2E4">
      <w:start w:val="1"/>
      <w:numFmt w:val="bullet"/>
      <w:lvlText w:val="•"/>
      <w:lvlJc w:val="left"/>
      <w:pPr>
        <w:tabs>
          <w:tab w:val="num" w:pos="720"/>
        </w:tabs>
        <w:ind w:left="720" w:hanging="360"/>
      </w:pPr>
      <w:rPr>
        <w:rFonts w:ascii="Arial" w:hAnsi="Arial" w:hint="default"/>
      </w:rPr>
    </w:lvl>
    <w:lvl w:ilvl="1" w:tplc="9B72F5CE">
      <w:numFmt w:val="bullet"/>
      <w:lvlText w:val="–"/>
      <w:lvlJc w:val="left"/>
      <w:pPr>
        <w:tabs>
          <w:tab w:val="num" w:pos="1440"/>
        </w:tabs>
        <w:ind w:left="1440" w:hanging="360"/>
      </w:pPr>
      <w:rPr>
        <w:rFonts w:ascii="Arial" w:hAnsi="Arial" w:hint="default"/>
      </w:rPr>
    </w:lvl>
    <w:lvl w:ilvl="2" w:tplc="7222E162" w:tentative="1">
      <w:start w:val="1"/>
      <w:numFmt w:val="bullet"/>
      <w:lvlText w:val="•"/>
      <w:lvlJc w:val="left"/>
      <w:pPr>
        <w:tabs>
          <w:tab w:val="num" w:pos="2160"/>
        </w:tabs>
        <w:ind w:left="2160" w:hanging="360"/>
      </w:pPr>
      <w:rPr>
        <w:rFonts w:ascii="Arial" w:hAnsi="Arial" w:hint="default"/>
      </w:rPr>
    </w:lvl>
    <w:lvl w:ilvl="3" w:tplc="F6CED166" w:tentative="1">
      <w:start w:val="1"/>
      <w:numFmt w:val="bullet"/>
      <w:lvlText w:val="•"/>
      <w:lvlJc w:val="left"/>
      <w:pPr>
        <w:tabs>
          <w:tab w:val="num" w:pos="2880"/>
        </w:tabs>
        <w:ind w:left="2880" w:hanging="360"/>
      </w:pPr>
      <w:rPr>
        <w:rFonts w:ascii="Arial" w:hAnsi="Arial" w:hint="default"/>
      </w:rPr>
    </w:lvl>
    <w:lvl w:ilvl="4" w:tplc="F43C27E2" w:tentative="1">
      <w:start w:val="1"/>
      <w:numFmt w:val="bullet"/>
      <w:lvlText w:val="•"/>
      <w:lvlJc w:val="left"/>
      <w:pPr>
        <w:tabs>
          <w:tab w:val="num" w:pos="3600"/>
        </w:tabs>
        <w:ind w:left="3600" w:hanging="360"/>
      </w:pPr>
      <w:rPr>
        <w:rFonts w:ascii="Arial" w:hAnsi="Arial" w:hint="default"/>
      </w:rPr>
    </w:lvl>
    <w:lvl w:ilvl="5" w:tplc="5FF81D98" w:tentative="1">
      <w:start w:val="1"/>
      <w:numFmt w:val="bullet"/>
      <w:lvlText w:val="•"/>
      <w:lvlJc w:val="left"/>
      <w:pPr>
        <w:tabs>
          <w:tab w:val="num" w:pos="4320"/>
        </w:tabs>
        <w:ind w:left="4320" w:hanging="360"/>
      </w:pPr>
      <w:rPr>
        <w:rFonts w:ascii="Arial" w:hAnsi="Arial" w:hint="default"/>
      </w:rPr>
    </w:lvl>
    <w:lvl w:ilvl="6" w:tplc="D1181B02" w:tentative="1">
      <w:start w:val="1"/>
      <w:numFmt w:val="bullet"/>
      <w:lvlText w:val="•"/>
      <w:lvlJc w:val="left"/>
      <w:pPr>
        <w:tabs>
          <w:tab w:val="num" w:pos="5040"/>
        </w:tabs>
        <w:ind w:left="5040" w:hanging="360"/>
      </w:pPr>
      <w:rPr>
        <w:rFonts w:ascii="Arial" w:hAnsi="Arial" w:hint="default"/>
      </w:rPr>
    </w:lvl>
    <w:lvl w:ilvl="7" w:tplc="62BC28F0" w:tentative="1">
      <w:start w:val="1"/>
      <w:numFmt w:val="bullet"/>
      <w:lvlText w:val="•"/>
      <w:lvlJc w:val="left"/>
      <w:pPr>
        <w:tabs>
          <w:tab w:val="num" w:pos="5760"/>
        </w:tabs>
        <w:ind w:left="5760" w:hanging="360"/>
      </w:pPr>
      <w:rPr>
        <w:rFonts w:ascii="Arial" w:hAnsi="Arial" w:hint="default"/>
      </w:rPr>
    </w:lvl>
    <w:lvl w:ilvl="8" w:tplc="E0049936" w:tentative="1">
      <w:start w:val="1"/>
      <w:numFmt w:val="bullet"/>
      <w:lvlText w:val="•"/>
      <w:lvlJc w:val="left"/>
      <w:pPr>
        <w:tabs>
          <w:tab w:val="num" w:pos="6480"/>
        </w:tabs>
        <w:ind w:left="6480" w:hanging="360"/>
      </w:pPr>
      <w:rPr>
        <w:rFonts w:ascii="Arial" w:hAnsi="Arial" w:hint="default"/>
      </w:rPr>
    </w:lvl>
  </w:abstractNum>
  <w:abstractNum w:abstractNumId="24">
    <w:nsid w:val="41680436"/>
    <w:multiLevelType w:val="hybridMultilevel"/>
    <w:tmpl w:val="90B4D7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7173BF"/>
    <w:multiLevelType w:val="hybridMultilevel"/>
    <w:tmpl w:val="6F6E3156"/>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76BD0"/>
    <w:multiLevelType w:val="hybridMultilevel"/>
    <w:tmpl w:val="9670EF5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3">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9C2358D"/>
    <w:multiLevelType w:val="hybridMultilevel"/>
    <w:tmpl w:val="5A4A41F4"/>
    <w:lvl w:ilvl="0" w:tplc="4CD05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9E85503"/>
    <w:multiLevelType w:val="hybridMultilevel"/>
    <w:tmpl w:val="2C9A66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7">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BB30D65"/>
    <w:multiLevelType w:val="hybridMultilevel"/>
    <w:tmpl w:val="3E8616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03439C2"/>
    <w:multiLevelType w:val="hybridMultilevel"/>
    <w:tmpl w:val="0A26D9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3C47F0C"/>
    <w:multiLevelType w:val="hybridMultilevel"/>
    <w:tmpl w:val="9C84F0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DD2018"/>
    <w:multiLevelType w:val="hybridMultilevel"/>
    <w:tmpl w:val="C4BC0818"/>
    <w:lvl w:ilvl="0" w:tplc="5B6E27AE">
      <w:start w:val="1"/>
      <w:numFmt w:val="bullet"/>
      <w:lvlText w:val="•"/>
      <w:lvlJc w:val="left"/>
      <w:pPr>
        <w:ind w:left="800" w:hanging="400"/>
      </w:pPr>
      <w:rPr>
        <w:rFonts w:ascii="Arial" w:hAnsi="Arial" w:hint="default"/>
      </w:rPr>
    </w:lvl>
    <w:lvl w:ilvl="1" w:tplc="AD507D4C">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B6030B"/>
    <w:multiLevelType w:val="hybridMultilevel"/>
    <w:tmpl w:val="FDD43AD2"/>
    <w:lvl w:ilvl="0" w:tplc="5B6E27A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B7B63B5"/>
    <w:multiLevelType w:val="hybridMultilevel"/>
    <w:tmpl w:val="CED68956"/>
    <w:lvl w:ilvl="0" w:tplc="5B6E27AE">
      <w:start w:val="1"/>
      <w:numFmt w:val="bullet"/>
      <w:lvlText w:val="•"/>
      <w:lvlJc w:val="left"/>
      <w:pPr>
        <w:ind w:left="800" w:hanging="400"/>
      </w:pPr>
      <w:rPr>
        <w:rFonts w:ascii="Arial" w:hAnsi="Arial" w:hint="default"/>
      </w:rPr>
    </w:lvl>
    <w:lvl w:ilvl="1" w:tplc="AD507D4C">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40"/>
  </w:num>
  <w:num w:numId="3">
    <w:abstractNumId w:val="0"/>
  </w:num>
  <w:num w:numId="4">
    <w:abstractNumId w:val="21"/>
  </w:num>
  <w:num w:numId="5">
    <w:abstractNumId w:val="14"/>
  </w:num>
  <w:num w:numId="6">
    <w:abstractNumId w:val="16"/>
  </w:num>
  <w:num w:numId="7">
    <w:abstractNumId w:val="32"/>
  </w:num>
  <w:num w:numId="8">
    <w:abstractNumId w:val="8"/>
  </w:num>
  <w:num w:numId="9">
    <w:abstractNumId w:val="25"/>
  </w:num>
  <w:num w:numId="10">
    <w:abstractNumId w:val="37"/>
  </w:num>
  <w:num w:numId="11">
    <w:abstractNumId w:val="18"/>
  </w:num>
  <w:num w:numId="12">
    <w:abstractNumId w:val="46"/>
  </w:num>
  <w:num w:numId="13">
    <w:abstractNumId w:val="13"/>
  </w:num>
  <w:num w:numId="14">
    <w:abstractNumId w:val="29"/>
  </w:num>
  <w:num w:numId="15">
    <w:abstractNumId w:val="5"/>
  </w:num>
  <w:num w:numId="16">
    <w:abstractNumId w:val="31"/>
  </w:num>
  <w:num w:numId="17">
    <w:abstractNumId w:val="6"/>
  </w:num>
  <w:num w:numId="18">
    <w:abstractNumId w:val="33"/>
  </w:num>
  <w:num w:numId="19">
    <w:abstractNumId w:val="15"/>
  </w:num>
  <w:num w:numId="20">
    <w:abstractNumId w:val="11"/>
  </w:num>
  <w:num w:numId="21">
    <w:abstractNumId w:val="39"/>
  </w:num>
  <w:num w:numId="22">
    <w:abstractNumId w:val="1"/>
  </w:num>
  <w:num w:numId="23">
    <w:abstractNumId w:val="30"/>
  </w:num>
  <w:num w:numId="24">
    <w:abstractNumId w:val="10"/>
  </w:num>
  <w:num w:numId="25">
    <w:abstractNumId w:val="7"/>
  </w:num>
  <w:num w:numId="26">
    <w:abstractNumId w:val="43"/>
  </w:num>
  <w:num w:numId="27">
    <w:abstractNumId w:val="2"/>
  </w:num>
  <w:num w:numId="28">
    <w:abstractNumId w:val="9"/>
  </w:num>
  <w:num w:numId="29">
    <w:abstractNumId w:val="17"/>
  </w:num>
  <w:num w:numId="30">
    <w:abstractNumId w:val="45"/>
  </w:num>
  <w:num w:numId="31">
    <w:abstractNumId w:val="44"/>
  </w:num>
  <w:num w:numId="32">
    <w:abstractNumId w:val="47"/>
  </w:num>
  <w:num w:numId="33">
    <w:abstractNumId w:val="27"/>
  </w:num>
  <w:num w:numId="34">
    <w:abstractNumId w:val="26"/>
  </w:num>
  <w:num w:numId="35">
    <w:abstractNumId w:val="34"/>
  </w:num>
  <w:num w:numId="36">
    <w:abstractNumId w:val="3"/>
  </w:num>
  <w:num w:numId="37">
    <w:abstractNumId w:val="35"/>
  </w:num>
  <w:num w:numId="38">
    <w:abstractNumId w:val="12"/>
  </w:num>
  <w:num w:numId="39">
    <w:abstractNumId w:val="19"/>
  </w:num>
  <w:num w:numId="40">
    <w:abstractNumId w:val="22"/>
  </w:num>
  <w:num w:numId="41">
    <w:abstractNumId w:val="42"/>
  </w:num>
  <w:num w:numId="42">
    <w:abstractNumId w:val="38"/>
  </w:num>
  <w:num w:numId="43">
    <w:abstractNumId w:val="24"/>
  </w:num>
  <w:num w:numId="44">
    <w:abstractNumId w:val="40"/>
  </w:num>
  <w:num w:numId="45">
    <w:abstractNumId w:val="23"/>
  </w:num>
  <w:num w:numId="46">
    <w:abstractNumId w:val="28"/>
  </w:num>
  <w:num w:numId="47">
    <w:abstractNumId w:val="36"/>
  </w:num>
  <w:num w:numId="48">
    <w:abstractNumId w:val="4"/>
  </w:num>
  <w:num w:numId="49">
    <w:abstractNumId w:val="41"/>
  </w:num>
  <w:num w:numId="5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27"/>
    <w:rsid w:val="00002E3E"/>
    <w:rsid w:val="000036AA"/>
    <w:rsid w:val="000037F7"/>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5E4"/>
    <w:rsid w:val="000167F6"/>
    <w:rsid w:val="00016B06"/>
    <w:rsid w:val="00016BDD"/>
    <w:rsid w:val="0001705E"/>
    <w:rsid w:val="00017861"/>
    <w:rsid w:val="00017B22"/>
    <w:rsid w:val="00017B23"/>
    <w:rsid w:val="00017CC4"/>
    <w:rsid w:val="00017F40"/>
    <w:rsid w:val="00020711"/>
    <w:rsid w:val="00021C1F"/>
    <w:rsid w:val="00021CF8"/>
    <w:rsid w:val="0002220F"/>
    <w:rsid w:val="000227D0"/>
    <w:rsid w:val="000229B3"/>
    <w:rsid w:val="00022BA4"/>
    <w:rsid w:val="00023495"/>
    <w:rsid w:val="000234FA"/>
    <w:rsid w:val="0002399C"/>
    <w:rsid w:val="0002483D"/>
    <w:rsid w:val="0002497D"/>
    <w:rsid w:val="00025053"/>
    <w:rsid w:val="00025214"/>
    <w:rsid w:val="00025352"/>
    <w:rsid w:val="00026086"/>
    <w:rsid w:val="00026B33"/>
    <w:rsid w:val="00026B5A"/>
    <w:rsid w:val="000278C9"/>
    <w:rsid w:val="00027AEA"/>
    <w:rsid w:val="00030D58"/>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05CD"/>
    <w:rsid w:val="000416C6"/>
    <w:rsid w:val="000418D2"/>
    <w:rsid w:val="00041AB7"/>
    <w:rsid w:val="00041EDF"/>
    <w:rsid w:val="00042975"/>
    <w:rsid w:val="000429EA"/>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4DEC"/>
    <w:rsid w:val="00055BAB"/>
    <w:rsid w:val="00055C7F"/>
    <w:rsid w:val="00056224"/>
    <w:rsid w:val="000602BA"/>
    <w:rsid w:val="00060510"/>
    <w:rsid w:val="00060BFE"/>
    <w:rsid w:val="00060F15"/>
    <w:rsid w:val="00060FFA"/>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6271"/>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4D17"/>
    <w:rsid w:val="000754C8"/>
    <w:rsid w:val="0007585A"/>
    <w:rsid w:val="00075CB2"/>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ADB"/>
    <w:rsid w:val="00083F3B"/>
    <w:rsid w:val="00084C19"/>
    <w:rsid w:val="00085DC3"/>
    <w:rsid w:val="000860D8"/>
    <w:rsid w:val="000871B0"/>
    <w:rsid w:val="00090419"/>
    <w:rsid w:val="0009081B"/>
    <w:rsid w:val="00091077"/>
    <w:rsid w:val="0009180F"/>
    <w:rsid w:val="000918C3"/>
    <w:rsid w:val="000923CD"/>
    <w:rsid w:val="000929FB"/>
    <w:rsid w:val="00092CC3"/>
    <w:rsid w:val="00093F57"/>
    <w:rsid w:val="0009470F"/>
    <w:rsid w:val="00094FAD"/>
    <w:rsid w:val="00095000"/>
    <w:rsid w:val="000956FD"/>
    <w:rsid w:val="00095BF5"/>
    <w:rsid w:val="000962F7"/>
    <w:rsid w:val="000963B7"/>
    <w:rsid w:val="000967B3"/>
    <w:rsid w:val="00096832"/>
    <w:rsid w:val="00097FC8"/>
    <w:rsid w:val="000A03BC"/>
    <w:rsid w:val="000A0AD7"/>
    <w:rsid w:val="000A0C2B"/>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4DF6"/>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BFD"/>
    <w:rsid w:val="000C302B"/>
    <w:rsid w:val="000C336C"/>
    <w:rsid w:val="000C3C93"/>
    <w:rsid w:val="000C3E25"/>
    <w:rsid w:val="000C5350"/>
    <w:rsid w:val="000C61B4"/>
    <w:rsid w:val="000C64DF"/>
    <w:rsid w:val="000C655F"/>
    <w:rsid w:val="000C69A1"/>
    <w:rsid w:val="000C7149"/>
    <w:rsid w:val="000C7385"/>
    <w:rsid w:val="000C7438"/>
    <w:rsid w:val="000C7AE1"/>
    <w:rsid w:val="000D0849"/>
    <w:rsid w:val="000D085E"/>
    <w:rsid w:val="000D0963"/>
    <w:rsid w:val="000D0B98"/>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21E0"/>
    <w:rsid w:val="000E32B1"/>
    <w:rsid w:val="000E32F2"/>
    <w:rsid w:val="000E3542"/>
    <w:rsid w:val="000E3694"/>
    <w:rsid w:val="000E3842"/>
    <w:rsid w:val="000E3859"/>
    <w:rsid w:val="000E3A5D"/>
    <w:rsid w:val="000E413B"/>
    <w:rsid w:val="000E4844"/>
    <w:rsid w:val="000E6098"/>
    <w:rsid w:val="000E6698"/>
    <w:rsid w:val="000E6960"/>
    <w:rsid w:val="000E6E7F"/>
    <w:rsid w:val="000E75E4"/>
    <w:rsid w:val="000E7D80"/>
    <w:rsid w:val="000F01FC"/>
    <w:rsid w:val="000F09D7"/>
    <w:rsid w:val="000F0BF5"/>
    <w:rsid w:val="000F1FDE"/>
    <w:rsid w:val="000F2199"/>
    <w:rsid w:val="000F2C38"/>
    <w:rsid w:val="000F3417"/>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0716C"/>
    <w:rsid w:val="00110030"/>
    <w:rsid w:val="00110144"/>
    <w:rsid w:val="00110D35"/>
    <w:rsid w:val="00110E88"/>
    <w:rsid w:val="001116AB"/>
    <w:rsid w:val="00111725"/>
    <w:rsid w:val="00112306"/>
    <w:rsid w:val="00112319"/>
    <w:rsid w:val="00112938"/>
    <w:rsid w:val="00112B9F"/>
    <w:rsid w:val="001135C5"/>
    <w:rsid w:val="00113A33"/>
    <w:rsid w:val="00114091"/>
    <w:rsid w:val="00114267"/>
    <w:rsid w:val="001148A8"/>
    <w:rsid w:val="00114C33"/>
    <w:rsid w:val="001151C8"/>
    <w:rsid w:val="00115313"/>
    <w:rsid w:val="00115D1F"/>
    <w:rsid w:val="00115D3A"/>
    <w:rsid w:val="00116E31"/>
    <w:rsid w:val="00117122"/>
    <w:rsid w:val="00117D0A"/>
    <w:rsid w:val="00117F02"/>
    <w:rsid w:val="001201DD"/>
    <w:rsid w:val="001202D8"/>
    <w:rsid w:val="00120396"/>
    <w:rsid w:val="00120C01"/>
    <w:rsid w:val="00121564"/>
    <w:rsid w:val="00121B48"/>
    <w:rsid w:val="001229A7"/>
    <w:rsid w:val="00122CFB"/>
    <w:rsid w:val="00123810"/>
    <w:rsid w:val="00123C22"/>
    <w:rsid w:val="00124BBA"/>
    <w:rsid w:val="001251A9"/>
    <w:rsid w:val="001251D1"/>
    <w:rsid w:val="00125FB5"/>
    <w:rsid w:val="001264AA"/>
    <w:rsid w:val="00126FFB"/>
    <w:rsid w:val="001270B7"/>
    <w:rsid w:val="00127FB4"/>
    <w:rsid w:val="001301F8"/>
    <w:rsid w:val="00130274"/>
    <w:rsid w:val="00130F73"/>
    <w:rsid w:val="001315EB"/>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15"/>
    <w:rsid w:val="00137BE4"/>
    <w:rsid w:val="00140B7E"/>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6C6C"/>
    <w:rsid w:val="0015757C"/>
    <w:rsid w:val="001578BB"/>
    <w:rsid w:val="001602F5"/>
    <w:rsid w:val="00160554"/>
    <w:rsid w:val="001609FA"/>
    <w:rsid w:val="00160AD9"/>
    <w:rsid w:val="00160AFB"/>
    <w:rsid w:val="00161EEA"/>
    <w:rsid w:val="00162D48"/>
    <w:rsid w:val="0016308E"/>
    <w:rsid w:val="0016347B"/>
    <w:rsid w:val="00163521"/>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771B1"/>
    <w:rsid w:val="00180186"/>
    <w:rsid w:val="00180816"/>
    <w:rsid w:val="00180DC4"/>
    <w:rsid w:val="0018124B"/>
    <w:rsid w:val="001815D8"/>
    <w:rsid w:val="00181A6D"/>
    <w:rsid w:val="00181D3C"/>
    <w:rsid w:val="00182069"/>
    <w:rsid w:val="0018236C"/>
    <w:rsid w:val="001828CB"/>
    <w:rsid w:val="00182AA0"/>
    <w:rsid w:val="00182ED0"/>
    <w:rsid w:val="00183347"/>
    <w:rsid w:val="00183556"/>
    <w:rsid w:val="00183645"/>
    <w:rsid w:val="0018378C"/>
    <w:rsid w:val="00183EA0"/>
    <w:rsid w:val="001840DB"/>
    <w:rsid w:val="00184108"/>
    <w:rsid w:val="00184390"/>
    <w:rsid w:val="00184A09"/>
    <w:rsid w:val="001852B9"/>
    <w:rsid w:val="0018562A"/>
    <w:rsid w:val="001857AF"/>
    <w:rsid w:val="00185B06"/>
    <w:rsid w:val="00185CE9"/>
    <w:rsid w:val="001860D3"/>
    <w:rsid w:val="0018614F"/>
    <w:rsid w:val="00186216"/>
    <w:rsid w:val="0018661C"/>
    <w:rsid w:val="00187460"/>
    <w:rsid w:val="00187D97"/>
    <w:rsid w:val="00190AF5"/>
    <w:rsid w:val="001913B0"/>
    <w:rsid w:val="0019140C"/>
    <w:rsid w:val="001919DC"/>
    <w:rsid w:val="00192376"/>
    <w:rsid w:val="00192463"/>
    <w:rsid w:val="001925C7"/>
    <w:rsid w:val="00192B0B"/>
    <w:rsid w:val="00192BC4"/>
    <w:rsid w:val="001933DA"/>
    <w:rsid w:val="001935A9"/>
    <w:rsid w:val="00193AFE"/>
    <w:rsid w:val="00193E15"/>
    <w:rsid w:val="001945B4"/>
    <w:rsid w:val="00195147"/>
    <w:rsid w:val="00195514"/>
    <w:rsid w:val="00195C55"/>
    <w:rsid w:val="00195FC6"/>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A7FE4"/>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609B"/>
    <w:rsid w:val="001B6714"/>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4A70"/>
    <w:rsid w:val="001D5056"/>
    <w:rsid w:val="001D5487"/>
    <w:rsid w:val="001D5C99"/>
    <w:rsid w:val="001D6164"/>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7E7"/>
    <w:rsid w:val="00201DCF"/>
    <w:rsid w:val="002022D8"/>
    <w:rsid w:val="00202689"/>
    <w:rsid w:val="002027B1"/>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832"/>
    <w:rsid w:val="00220B00"/>
    <w:rsid w:val="00221698"/>
    <w:rsid w:val="002222B6"/>
    <w:rsid w:val="0022306B"/>
    <w:rsid w:val="002234DB"/>
    <w:rsid w:val="002235B7"/>
    <w:rsid w:val="002239E4"/>
    <w:rsid w:val="002240A3"/>
    <w:rsid w:val="00224739"/>
    <w:rsid w:val="002256D4"/>
    <w:rsid w:val="00225C1A"/>
    <w:rsid w:val="00225EDB"/>
    <w:rsid w:val="00226802"/>
    <w:rsid w:val="00226FFF"/>
    <w:rsid w:val="00227635"/>
    <w:rsid w:val="00227CE8"/>
    <w:rsid w:val="00227ECD"/>
    <w:rsid w:val="00230026"/>
    <w:rsid w:val="00230754"/>
    <w:rsid w:val="00230F49"/>
    <w:rsid w:val="002313CF"/>
    <w:rsid w:val="002316F4"/>
    <w:rsid w:val="002324AB"/>
    <w:rsid w:val="00232F90"/>
    <w:rsid w:val="002332F3"/>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2BEE"/>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39AD"/>
    <w:rsid w:val="002748AC"/>
    <w:rsid w:val="0027545A"/>
    <w:rsid w:val="00275945"/>
    <w:rsid w:val="00275CA1"/>
    <w:rsid w:val="00276E7F"/>
    <w:rsid w:val="002801C7"/>
    <w:rsid w:val="0028159C"/>
    <w:rsid w:val="00283163"/>
    <w:rsid w:val="0028398F"/>
    <w:rsid w:val="0028419E"/>
    <w:rsid w:val="00284523"/>
    <w:rsid w:val="00284EDC"/>
    <w:rsid w:val="002850C7"/>
    <w:rsid w:val="00285AAB"/>
    <w:rsid w:val="00285E58"/>
    <w:rsid w:val="002876BB"/>
    <w:rsid w:val="0028792B"/>
    <w:rsid w:val="00287A91"/>
    <w:rsid w:val="00290A0C"/>
    <w:rsid w:val="00290CFD"/>
    <w:rsid w:val="00291071"/>
    <w:rsid w:val="00292461"/>
    <w:rsid w:val="0029319A"/>
    <w:rsid w:val="0029359B"/>
    <w:rsid w:val="00293849"/>
    <w:rsid w:val="00294382"/>
    <w:rsid w:val="00294797"/>
    <w:rsid w:val="00294FF5"/>
    <w:rsid w:val="0029611A"/>
    <w:rsid w:val="002970FE"/>
    <w:rsid w:val="002977EF"/>
    <w:rsid w:val="002A25A3"/>
    <w:rsid w:val="002A29F3"/>
    <w:rsid w:val="002A2C86"/>
    <w:rsid w:val="002A3395"/>
    <w:rsid w:val="002A3F1F"/>
    <w:rsid w:val="002A4EDC"/>
    <w:rsid w:val="002A611F"/>
    <w:rsid w:val="002A6280"/>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7083"/>
    <w:rsid w:val="002B7259"/>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C84"/>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D7E"/>
    <w:rsid w:val="002D4E13"/>
    <w:rsid w:val="002D5116"/>
    <w:rsid w:val="002D5615"/>
    <w:rsid w:val="002D5692"/>
    <w:rsid w:val="002D5B22"/>
    <w:rsid w:val="002D5E07"/>
    <w:rsid w:val="002D5E1C"/>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7A"/>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12C"/>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F4F"/>
    <w:rsid w:val="00304BCD"/>
    <w:rsid w:val="00304CE4"/>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375"/>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166"/>
    <w:rsid w:val="00323500"/>
    <w:rsid w:val="00323979"/>
    <w:rsid w:val="00323B61"/>
    <w:rsid w:val="00324953"/>
    <w:rsid w:val="003255DE"/>
    <w:rsid w:val="00325BE8"/>
    <w:rsid w:val="00326914"/>
    <w:rsid w:val="0032749A"/>
    <w:rsid w:val="003276EA"/>
    <w:rsid w:val="003278CE"/>
    <w:rsid w:val="00327A31"/>
    <w:rsid w:val="00327EC6"/>
    <w:rsid w:val="00330182"/>
    <w:rsid w:val="003302E7"/>
    <w:rsid w:val="0033048A"/>
    <w:rsid w:val="00330677"/>
    <w:rsid w:val="00330CAF"/>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389"/>
    <w:rsid w:val="00344465"/>
    <w:rsid w:val="00344DDC"/>
    <w:rsid w:val="00345A46"/>
    <w:rsid w:val="00345D4D"/>
    <w:rsid w:val="003460EA"/>
    <w:rsid w:val="00346B61"/>
    <w:rsid w:val="00346ED5"/>
    <w:rsid w:val="00347ABD"/>
    <w:rsid w:val="00347B71"/>
    <w:rsid w:val="00350369"/>
    <w:rsid w:val="00350D25"/>
    <w:rsid w:val="00351417"/>
    <w:rsid w:val="003514E0"/>
    <w:rsid w:val="003519F4"/>
    <w:rsid w:val="00351CB1"/>
    <w:rsid w:val="00352ABB"/>
    <w:rsid w:val="00352F9B"/>
    <w:rsid w:val="00353480"/>
    <w:rsid w:val="003535CF"/>
    <w:rsid w:val="00353714"/>
    <w:rsid w:val="00353E3B"/>
    <w:rsid w:val="0035406F"/>
    <w:rsid w:val="00354417"/>
    <w:rsid w:val="00354612"/>
    <w:rsid w:val="00354BD4"/>
    <w:rsid w:val="003563CB"/>
    <w:rsid w:val="00356A9A"/>
    <w:rsid w:val="00356D7F"/>
    <w:rsid w:val="00357611"/>
    <w:rsid w:val="003576E2"/>
    <w:rsid w:val="0035778D"/>
    <w:rsid w:val="00357A0F"/>
    <w:rsid w:val="00357DB1"/>
    <w:rsid w:val="00357DFA"/>
    <w:rsid w:val="00360F39"/>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51A"/>
    <w:rsid w:val="00376B84"/>
    <w:rsid w:val="003775BD"/>
    <w:rsid w:val="00377FC8"/>
    <w:rsid w:val="003809F9"/>
    <w:rsid w:val="003812DF"/>
    <w:rsid w:val="0038163B"/>
    <w:rsid w:val="00381868"/>
    <w:rsid w:val="00381CC0"/>
    <w:rsid w:val="003822F0"/>
    <w:rsid w:val="003829AC"/>
    <w:rsid w:val="00382AB6"/>
    <w:rsid w:val="00382FA1"/>
    <w:rsid w:val="0038373A"/>
    <w:rsid w:val="00384164"/>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EBE"/>
    <w:rsid w:val="00393FD2"/>
    <w:rsid w:val="003940A8"/>
    <w:rsid w:val="00394113"/>
    <w:rsid w:val="0039427F"/>
    <w:rsid w:val="00394501"/>
    <w:rsid w:val="003945A9"/>
    <w:rsid w:val="00394989"/>
    <w:rsid w:val="00395491"/>
    <w:rsid w:val="003955AA"/>
    <w:rsid w:val="00395611"/>
    <w:rsid w:val="00395F0C"/>
    <w:rsid w:val="003963B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059F"/>
    <w:rsid w:val="003B1476"/>
    <w:rsid w:val="003B16C4"/>
    <w:rsid w:val="003B2908"/>
    <w:rsid w:val="003B329D"/>
    <w:rsid w:val="003B40B8"/>
    <w:rsid w:val="003B4252"/>
    <w:rsid w:val="003B4300"/>
    <w:rsid w:val="003B45C2"/>
    <w:rsid w:val="003B4AF5"/>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3A"/>
    <w:rsid w:val="003C7A64"/>
    <w:rsid w:val="003C7B1D"/>
    <w:rsid w:val="003C7EBD"/>
    <w:rsid w:val="003D0691"/>
    <w:rsid w:val="003D0B20"/>
    <w:rsid w:val="003D0BE6"/>
    <w:rsid w:val="003D1253"/>
    <w:rsid w:val="003D153C"/>
    <w:rsid w:val="003D2870"/>
    <w:rsid w:val="003D2DC2"/>
    <w:rsid w:val="003D38C9"/>
    <w:rsid w:val="003D3B93"/>
    <w:rsid w:val="003D3DEC"/>
    <w:rsid w:val="003D3ED9"/>
    <w:rsid w:val="003D5D2D"/>
    <w:rsid w:val="003D6F7E"/>
    <w:rsid w:val="003D7F5C"/>
    <w:rsid w:val="003E0B56"/>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1BF"/>
    <w:rsid w:val="003E6498"/>
    <w:rsid w:val="003E66B9"/>
    <w:rsid w:val="003E7031"/>
    <w:rsid w:val="003E7A87"/>
    <w:rsid w:val="003E7F41"/>
    <w:rsid w:val="003F0320"/>
    <w:rsid w:val="003F106B"/>
    <w:rsid w:val="003F20D5"/>
    <w:rsid w:val="003F23DA"/>
    <w:rsid w:val="003F28EF"/>
    <w:rsid w:val="003F3795"/>
    <w:rsid w:val="003F3AF6"/>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1A6B"/>
    <w:rsid w:val="004020A8"/>
    <w:rsid w:val="00403032"/>
    <w:rsid w:val="0040320A"/>
    <w:rsid w:val="00403C5D"/>
    <w:rsid w:val="00403EED"/>
    <w:rsid w:val="00405567"/>
    <w:rsid w:val="0040602C"/>
    <w:rsid w:val="0040638D"/>
    <w:rsid w:val="004065D4"/>
    <w:rsid w:val="00407C78"/>
    <w:rsid w:val="00410227"/>
    <w:rsid w:val="00410811"/>
    <w:rsid w:val="00410AE4"/>
    <w:rsid w:val="00410C4E"/>
    <w:rsid w:val="00410D6E"/>
    <w:rsid w:val="00410E67"/>
    <w:rsid w:val="00411251"/>
    <w:rsid w:val="00411C3D"/>
    <w:rsid w:val="00411D73"/>
    <w:rsid w:val="00412061"/>
    <w:rsid w:val="00412725"/>
    <w:rsid w:val="00412D4A"/>
    <w:rsid w:val="0041306F"/>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91C"/>
    <w:rsid w:val="00421EAF"/>
    <w:rsid w:val="004224B2"/>
    <w:rsid w:val="0042290D"/>
    <w:rsid w:val="00423565"/>
    <w:rsid w:val="0042378B"/>
    <w:rsid w:val="00423F0B"/>
    <w:rsid w:val="004244ED"/>
    <w:rsid w:val="0042580A"/>
    <w:rsid w:val="004259C3"/>
    <w:rsid w:val="00426072"/>
    <w:rsid w:val="00426ACD"/>
    <w:rsid w:val="0042744C"/>
    <w:rsid w:val="0042795F"/>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680C"/>
    <w:rsid w:val="0043762E"/>
    <w:rsid w:val="00437D85"/>
    <w:rsid w:val="004412FF"/>
    <w:rsid w:val="00441660"/>
    <w:rsid w:val="00441912"/>
    <w:rsid w:val="00441AEF"/>
    <w:rsid w:val="00441CF7"/>
    <w:rsid w:val="00443B45"/>
    <w:rsid w:val="00443FCA"/>
    <w:rsid w:val="00444005"/>
    <w:rsid w:val="00445E1A"/>
    <w:rsid w:val="00445EBB"/>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8D5"/>
    <w:rsid w:val="00455DC9"/>
    <w:rsid w:val="00455DF3"/>
    <w:rsid w:val="0045649B"/>
    <w:rsid w:val="00456CD2"/>
    <w:rsid w:val="00456F3D"/>
    <w:rsid w:val="0045739F"/>
    <w:rsid w:val="0045750A"/>
    <w:rsid w:val="00460680"/>
    <w:rsid w:val="00460DD0"/>
    <w:rsid w:val="00461536"/>
    <w:rsid w:val="004615F1"/>
    <w:rsid w:val="004616E4"/>
    <w:rsid w:val="00461C53"/>
    <w:rsid w:val="00462B07"/>
    <w:rsid w:val="00462B3F"/>
    <w:rsid w:val="00462F33"/>
    <w:rsid w:val="004635AB"/>
    <w:rsid w:val="004635E4"/>
    <w:rsid w:val="00463966"/>
    <w:rsid w:val="00463EE1"/>
    <w:rsid w:val="004642EC"/>
    <w:rsid w:val="004645ED"/>
    <w:rsid w:val="00464D1B"/>
    <w:rsid w:val="00465834"/>
    <w:rsid w:val="00465D90"/>
    <w:rsid w:val="004660AE"/>
    <w:rsid w:val="00467150"/>
    <w:rsid w:val="004677A2"/>
    <w:rsid w:val="0046786B"/>
    <w:rsid w:val="0046787D"/>
    <w:rsid w:val="00470005"/>
    <w:rsid w:val="004704D4"/>
    <w:rsid w:val="0047092A"/>
    <w:rsid w:val="00472305"/>
    <w:rsid w:val="004723E8"/>
    <w:rsid w:val="00473FA6"/>
    <w:rsid w:val="00474165"/>
    <w:rsid w:val="004743FC"/>
    <w:rsid w:val="004744DB"/>
    <w:rsid w:val="0047492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16F"/>
    <w:rsid w:val="00484322"/>
    <w:rsid w:val="004846D6"/>
    <w:rsid w:val="004858B8"/>
    <w:rsid w:val="004861AF"/>
    <w:rsid w:val="004862D8"/>
    <w:rsid w:val="0048685C"/>
    <w:rsid w:val="00486BF2"/>
    <w:rsid w:val="00487919"/>
    <w:rsid w:val="004879CF"/>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2D31"/>
    <w:rsid w:val="004A333E"/>
    <w:rsid w:val="004A36BE"/>
    <w:rsid w:val="004A52CD"/>
    <w:rsid w:val="004A554C"/>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27DE"/>
    <w:rsid w:val="004C2F0D"/>
    <w:rsid w:val="004C4243"/>
    <w:rsid w:val="004C490D"/>
    <w:rsid w:val="004C4C16"/>
    <w:rsid w:val="004C5893"/>
    <w:rsid w:val="004C65B8"/>
    <w:rsid w:val="004C67CD"/>
    <w:rsid w:val="004C7F4C"/>
    <w:rsid w:val="004D024B"/>
    <w:rsid w:val="004D0595"/>
    <w:rsid w:val="004D068E"/>
    <w:rsid w:val="004D0BC5"/>
    <w:rsid w:val="004D1258"/>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04"/>
    <w:rsid w:val="004E32BD"/>
    <w:rsid w:val="004E32F5"/>
    <w:rsid w:val="004E37EE"/>
    <w:rsid w:val="004E423C"/>
    <w:rsid w:val="004E464C"/>
    <w:rsid w:val="004E46FD"/>
    <w:rsid w:val="004E4BA7"/>
    <w:rsid w:val="004E4C8F"/>
    <w:rsid w:val="004E5C06"/>
    <w:rsid w:val="004E6B76"/>
    <w:rsid w:val="004E6D21"/>
    <w:rsid w:val="004E78D9"/>
    <w:rsid w:val="004E7FE3"/>
    <w:rsid w:val="004F04CF"/>
    <w:rsid w:val="004F067E"/>
    <w:rsid w:val="004F1317"/>
    <w:rsid w:val="004F13D8"/>
    <w:rsid w:val="004F1520"/>
    <w:rsid w:val="004F1861"/>
    <w:rsid w:val="004F1CDC"/>
    <w:rsid w:val="004F1FD4"/>
    <w:rsid w:val="004F28C6"/>
    <w:rsid w:val="004F36D3"/>
    <w:rsid w:val="004F3E3B"/>
    <w:rsid w:val="004F4CF5"/>
    <w:rsid w:val="004F4FE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1B99"/>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4F3"/>
    <w:rsid w:val="00523FA2"/>
    <w:rsid w:val="00524A24"/>
    <w:rsid w:val="00525AB0"/>
    <w:rsid w:val="00525E6C"/>
    <w:rsid w:val="00526073"/>
    <w:rsid w:val="00526551"/>
    <w:rsid w:val="00526C1D"/>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4EC8"/>
    <w:rsid w:val="005355AC"/>
    <w:rsid w:val="00535FCB"/>
    <w:rsid w:val="0053631B"/>
    <w:rsid w:val="005365F1"/>
    <w:rsid w:val="00536A3E"/>
    <w:rsid w:val="00537181"/>
    <w:rsid w:val="00537494"/>
    <w:rsid w:val="005377C9"/>
    <w:rsid w:val="0053783C"/>
    <w:rsid w:val="00537A08"/>
    <w:rsid w:val="00537CB6"/>
    <w:rsid w:val="005408BA"/>
    <w:rsid w:val="00540C3C"/>
    <w:rsid w:val="0054203C"/>
    <w:rsid w:val="005422AE"/>
    <w:rsid w:val="00542309"/>
    <w:rsid w:val="005431CE"/>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24E4"/>
    <w:rsid w:val="00563641"/>
    <w:rsid w:val="00563DFA"/>
    <w:rsid w:val="00563FC3"/>
    <w:rsid w:val="00564545"/>
    <w:rsid w:val="00564F05"/>
    <w:rsid w:val="00565E1C"/>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927"/>
    <w:rsid w:val="00583F2E"/>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00"/>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9B6"/>
    <w:rsid w:val="00595A9A"/>
    <w:rsid w:val="00595AF3"/>
    <w:rsid w:val="00595EC5"/>
    <w:rsid w:val="00596498"/>
    <w:rsid w:val="0059682E"/>
    <w:rsid w:val="00596944"/>
    <w:rsid w:val="00596BF6"/>
    <w:rsid w:val="00597674"/>
    <w:rsid w:val="005979CD"/>
    <w:rsid w:val="00597BF5"/>
    <w:rsid w:val="005A180B"/>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AEC"/>
    <w:rsid w:val="005B0CB9"/>
    <w:rsid w:val="005B17CF"/>
    <w:rsid w:val="005B1A74"/>
    <w:rsid w:val="005B23F8"/>
    <w:rsid w:val="005B2BB2"/>
    <w:rsid w:val="005B318C"/>
    <w:rsid w:val="005B31CB"/>
    <w:rsid w:val="005B33B7"/>
    <w:rsid w:val="005B378D"/>
    <w:rsid w:val="005B3AF8"/>
    <w:rsid w:val="005B3B58"/>
    <w:rsid w:val="005B40E6"/>
    <w:rsid w:val="005B4575"/>
    <w:rsid w:val="005B4855"/>
    <w:rsid w:val="005B50D3"/>
    <w:rsid w:val="005B5264"/>
    <w:rsid w:val="005B5277"/>
    <w:rsid w:val="005B54AF"/>
    <w:rsid w:val="005B5DF1"/>
    <w:rsid w:val="005B5FD5"/>
    <w:rsid w:val="005B61CF"/>
    <w:rsid w:val="005B73CD"/>
    <w:rsid w:val="005C03CE"/>
    <w:rsid w:val="005C0D62"/>
    <w:rsid w:val="005C1419"/>
    <w:rsid w:val="005C1C66"/>
    <w:rsid w:val="005C1FCB"/>
    <w:rsid w:val="005C26BC"/>
    <w:rsid w:val="005C315B"/>
    <w:rsid w:val="005C32F4"/>
    <w:rsid w:val="005C354A"/>
    <w:rsid w:val="005C370E"/>
    <w:rsid w:val="005C3851"/>
    <w:rsid w:val="005C3AAF"/>
    <w:rsid w:val="005C3AF6"/>
    <w:rsid w:val="005C3ED5"/>
    <w:rsid w:val="005C41C3"/>
    <w:rsid w:val="005C4558"/>
    <w:rsid w:val="005C4A96"/>
    <w:rsid w:val="005C51BE"/>
    <w:rsid w:val="005C550B"/>
    <w:rsid w:val="005C5F14"/>
    <w:rsid w:val="005C5FA4"/>
    <w:rsid w:val="005C70FC"/>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A89"/>
    <w:rsid w:val="005D4C41"/>
    <w:rsid w:val="005D4EAC"/>
    <w:rsid w:val="005D4FEC"/>
    <w:rsid w:val="005D56EE"/>
    <w:rsid w:val="005D5B8C"/>
    <w:rsid w:val="005D6463"/>
    <w:rsid w:val="005D704E"/>
    <w:rsid w:val="005D70CC"/>
    <w:rsid w:val="005D7297"/>
    <w:rsid w:val="005D7797"/>
    <w:rsid w:val="005E0681"/>
    <w:rsid w:val="005E1830"/>
    <w:rsid w:val="005E1FC5"/>
    <w:rsid w:val="005E2648"/>
    <w:rsid w:val="005E28D1"/>
    <w:rsid w:val="005E2978"/>
    <w:rsid w:val="005E2B56"/>
    <w:rsid w:val="005E2E9F"/>
    <w:rsid w:val="005E35A3"/>
    <w:rsid w:val="005E37F4"/>
    <w:rsid w:val="005E3815"/>
    <w:rsid w:val="005E383C"/>
    <w:rsid w:val="005E3A7D"/>
    <w:rsid w:val="005E45D9"/>
    <w:rsid w:val="005E4C13"/>
    <w:rsid w:val="005E4ED1"/>
    <w:rsid w:val="005E542E"/>
    <w:rsid w:val="005E5675"/>
    <w:rsid w:val="005E628E"/>
    <w:rsid w:val="005E64E3"/>
    <w:rsid w:val="005E7246"/>
    <w:rsid w:val="005E792F"/>
    <w:rsid w:val="005E7A4A"/>
    <w:rsid w:val="005F0740"/>
    <w:rsid w:val="005F076F"/>
    <w:rsid w:val="005F07AB"/>
    <w:rsid w:val="005F0818"/>
    <w:rsid w:val="005F0BEC"/>
    <w:rsid w:val="005F0EBE"/>
    <w:rsid w:val="005F1850"/>
    <w:rsid w:val="005F2233"/>
    <w:rsid w:val="005F2484"/>
    <w:rsid w:val="005F2A9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4E37"/>
    <w:rsid w:val="006050F9"/>
    <w:rsid w:val="00605477"/>
    <w:rsid w:val="006056E3"/>
    <w:rsid w:val="00605726"/>
    <w:rsid w:val="00605934"/>
    <w:rsid w:val="00605E2F"/>
    <w:rsid w:val="006062E8"/>
    <w:rsid w:val="00606C4F"/>
    <w:rsid w:val="00606EE7"/>
    <w:rsid w:val="00607851"/>
    <w:rsid w:val="00607D1A"/>
    <w:rsid w:val="006105F9"/>
    <w:rsid w:val="00610BC2"/>
    <w:rsid w:val="00610D69"/>
    <w:rsid w:val="00610FF2"/>
    <w:rsid w:val="0061126C"/>
    <w:rsid w:val="00612211"/>
    <w:rsid w:val="00612BAF"/>
    <w:rsid w:val="00612F7E"/>
    <w:rsid w:val="006131E4"/>
    <w:rsid w:val="006131FD"/>
    <w:rsid w:val="0061361E"/>
    <w:rsid w:val="00614325"/>
    <w:rsid w:val="00614433"/>
    <w:rsid w:val="00614BB1"/>
    <w:rsid w:val="0061531C"/>
    <w:rsid w:val="00615900"/>
    <w:rsid w:val="00615B07"/>
    <w:rsid w:val="00616350"/>
    <w:rsid w:val="0061660B"/>
    <w:rsid w:val="00616B8E"/>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686"/>
    <w:rsid w:val="00631AFB"/>
    <w:rsid w:val="00631DA8"/>
    <w:rsid w:val="00631F02"/>
    <w:rsid w:val="00632A27"/>
    <w:rsid w:val="00632BCC"/>
    <w:rsid w:val="00632D2C"/>
    <w:rsid w:val="0063345C"/>
    <w:rsid w:val="00633AD8"/>
    <w:rsid w:val="00634235"/>
    <w:rsid w:val="00634518"/>
    <w:rsid w:val="00634EB5"/>
    <w:rsid w:val="00634EFB"/>
    <w:rsid w:val="006350EF"/>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174"/>
    <w:rsid w:val="00645CB8"/>
    <w:rsid w:val="006464DE"/>
    <w:rsid w:val="00646561"/>
    <w:rsid w:val="006465CA"/>
    <w:rsid w:val="00647210"/>
    <w:rsid w:val="006479F4"/>
    <w:rsid w:val="00647E7F"/>
    <w:rsid w:val="00647F4D"/>
    <w:rsid w:val="00650AAB"/>
    <w:rsid w:val="00651A17"/>
    <w:rsid w:val="00651AE2"/>
    <w:rsid w:val="00651CB2"/>
    <w:rsid w:val="006522A3"/>
    <w:rsid w:val="0065236E"/>
    <w:rsid w:val="0065380C"/>
    <w:rsid w:val="00653C20"/>
    <w:rsid w:val="00653CE8"/>
    <w:rsid w:val="006543AB"/>
    <w:rsid w:val="006544D0"/>
    <w:rsid w:val="006549F0"/>
    <w:rsid w:val="00654E3C"/>
    <w:rsid w:val="0065651D"/>
    <w:rsid w:val="006566B3"/>
    <w:rsid w:val="00656786"/>
    <w:rsid w:val="00656CC9"/>
    <w:rsid w:val="0065700E"/>
    <w:rsid w:val="0065758A"/>
    <w:rsid w:val="00657DCF"/>
    <w:rsid w:val="00660597"/>
    <w:rsid w:val="006614A2"/>
    <w:rsid w:val="00661E70"/>
    <w:rsid w:val="006622D2"/>
    <w:rsid w:val="00663343"/>
    <w:rsid w:val="006637DB"/>
    <w:rsid w:val="00664B4E"/>
    <w:rsid w:val="006651B3"/>
    <w:rsid w:val="006653C0"/>
    <w:rsid w:val="0066568E"/>
    <w:rsid w:val="00665A55"/>
    <w:rsid w:val="00665E4E"/>
    <w:rsid w:val="00665F6E"/>
    <w:rsid w:val="006665F6"/>
    <w:rsid w:val="006668C5"/>
    <w:rsid w:val="006671B0"/>
    <w:rsid w:val="0066776B"/>
    <w:rsid w:val="00667C26"/>
    <w:rsid w:val="00670134"/>
    <w:rsid w:val="00670212"/>
    <w:rsid w:val="00670313"/>
    <w:rsid w:val="00671401"/>
    <w:rsid w:val="006721A9"/>
    <w:rsid w:val="00672F34"/>
    <w:rsid w:val="006731A2"/>
    <w:rsid w:val="00673BBB"/>
    <w:rsid w:val="006740E3"/>
    <w:rsid w:val="00674729"/>
    <w:rsid w:val="00674B63"/>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72"/>
    <w:rsid w:val="006814CF"/>
    <w:rsid w:val="00681C57"/>
    <w:rsid w:val="00681CDC"/>
    <w:rsid w:val="00681CE1"/>
    <w:rsid w:val="00682130"/>
    <w:rsid w:val="00682B4A"/>
    <w:rsid w:val="0068346B"/>
    <w:rsid w:val="006840D6"/>
    <w:rsid w:val="00684224"/>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48FE"/>
    <w:rsid w:val="006A4E9B"/>
    <w:rsid w:val="006A508F"/>
    <w:rsid w:val="006A53A9"/>
    <w:rsid w:val="006A5558"/>
    <w:rsid w:val="006A653F"/>
    <w:rsid w:val="006A7472"/>
    <w:rsid w:val="006A74A6"/>
    <w:rsid w:val="006A7620"/>
    <w:rsid w:val="006A7BD3"/>
    <w:rsid w:val="006A7E75"/>
    <w:rsid w:val="006B0755"/>
    <w:rsid w:val="006B12FD"/>
    <w:rsid w:val="006B1808"/>
    <w:rsid w:val="006B22FF"/>
    <w:rsid w:val="006B2414"/>
    <w:rsid w:val="006B26B6"/>
    <w:rsid w:val="006B2AC5"/>
    <w:rsid w:val="006B2AD9"/>
    <w:rsid w:val="006B2C7D"/>
    <w:rsid w:val="006B2E8B"/>
    <w:rsid w:val="006B30FD"/>
    <w:rsid w:val="006B3358"/>
    <w:rsid w:val="006B3AD2"/>
    <w:rsid w:val="006B3E7A"/>
    <w:rsid w:val="006B4641"/>
    <w:rsid w:val="006B52BA"/>
    <w:rsid w:val="006B5A8F"/>
    <w:rsid w:val="006B5DE2"/>
    <w:rsid w:val="006B63C1"/>
    <w:rsid w:val="006B65E5"/>
    <w:rsid w:val="006B7403"/>
    <w:rsid w:val="006B7BBF"/>
    <w:rsid w:val="006C0163"/>
    <w:rsid w:val="006C03A1"/>
    <w:rsid w:val="006C050A"/>
    <w:rsid w:val="006C06E2"/>
    <w:rsid w:val="006C0F4B"/>
    <w:rsid w:val="006C1393"/>
    <w:rsid w:val="006C2677"/>
    <w:rsid w:val="006C2DEB"/>
    <w:rsid w:val="006C3289"/>
    <w:rsid w:val="006C3822"/>
    <w:rsid w:val="006C388B"/>
    <w:rsid w:val="006C3DCE"/>
    <w:rsid w:val="006C3E8F"/>
    <w:rsid w:val="006C4180"/>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41AF"/>
    <w:rsid w:val="006D4CE5"/>
    <w:rsid w:val="006D6F44"/>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DED"/>
    <w:rsid w:val="006E601E"/>
    <w:rsid w:val="006E6065"/>
    <w:rsid w:val="006E608C"/>
    <w:rsid w:val="006E615F"/>
    <w:rsid w:val="006E6F8E"/>
    <w:rsid w:val="006E78AD"/>
    <w:rsid w:val="006E7CFF"/>
    <w:rsid w:val="006E7D87"/>
    <w:rsid w:val="006F01FD"/>
    <w:rsid w:val="006F0635"/>
    <w:rsid w:val="006F1D0B"/>
    <w:rsid w:val="006F218F"/>
    <w:rsid w:val="006F284A"/>
    <w:rsid w:val="006F303C"/>
    <w:rsid w:val="006F4D0C"/>
    <w:rsid w:val="006F579B"/>
    <w:rsid w:val="006F5B09"/>
    <w:rsid w:val="006F61C4"/>
    <w:rsid w:val="006F726C"/>
    <w:rsid w:val="006F7538"/>
    <w:rsid w:val="006F78D1"/>
    <w:rsid w:val="00700062"/>
    <w:rsid w:val="0070011B"/>
    <w:rsid w:val="0070041C"/>
    <w:rsid w:val="00701954"/>
    <w:rsid w:val="00701CE8"/>
    <w:rsid w:val="007029BD"/>
    <w:rsid w:val="00702BE4"/>
    <w:rsid w:val="00702F5F"/>
    <w:rsid w:val="007036D8"/>
    <w:rsid w:val="00703768"/>
    <w:rsid w:val="0070439E"/>
    <w:rsid w:val="00704684"/>
    <w:rsid w:val="0070571B"/>
    <w:rsid w:val="00705850"/>
    <w:rsid w:val="00705851"/>
    <w:rsid w:val="00706584"/>
    <w:rsid w:val="007065B0"/>
    <w:rsid w:val="00706DD2"/>
    <w:rsid w:val="00706FA6"/>
    <w:rsid w:val="00707788"/>
    <w:rsid w:val="00707C53"/>
    <w:rsid w:val="00707F2D"/>
    <w:rsid w:val="00707FED"/>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27E44"/>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6CFE"/>
    <w:rsid w:val="00746E82"/>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2AFF"/>
    <w:rsid w:val="0075343B"/>
    <w:rsid w:val="007536A7"/>
    <w:rsid w:val="0075380E"/>
    <w:rsid w:val="00753DFC"/>
    <w:rsid w:val="00754768"/>
    <w:rsid w:val="00754A7F"/>
    <w:rsid w:val="0075713B"/>
    <w:rsid w:val="007573FC"/>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A1B"/>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27B4"/>
    <w:rsid w:val="00794460"/>
    <w:rsid w:val="00794C8D"/>
    <w:rsid w:val="00795C14"/>
    <w:rsid w:val="00797787"/>
    <w:rsid w:val="00797EF5"/>
    <w:rsid w:val="007A0209"/>
    <w:rsid w:val="007A080E"/>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186"/>
    <w:rsid w:val="007A69E7"/>
    <w:rsid w:val="007A6ABF"/>
    <w:rsid w:val="007A7E45"/>
    <w:rsid w:val="007B01AD"/>
    <w:rsid w:val="007B05C4"/>
    <w:rsid w:val="007B07B6"/>
    <w:rsid w:val="007B0A7F"/>
    <w:rsid w:val="007B1051"/>
    <w:rsid w:val="007B2068"/>
    <w:rsid w:val="007B20E3"/>
    <w:rsid w:val="007B33E9"/>
    <w:rsid w:val="007B3AB6"/>
    <w:rsid w:val="007B4326"/>
    <w:rsid w:val="007B4D07"/>
    <w:rsid w:val="007B5AD1"/>
    <w:rsid w:val="007B624D"/>
    <w:rsid w:val="007B6AA3"/>
    <w:rsid w:val="007B6F77"/>
    <w:rsid w:val="007B70BA"/>
    <w:rsid w:val="007B7718"/>
    <w:rsid w:val="007C07AB"/>
    <w:rsid w:val="007C0962"/>
    <w:rsid w:val="007C0EE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2B9F"/>
    <w:rsid w:val="007D2BEC"/>
    <w:rsid w:val="007D3A90"/>
    <w:rsid w:val="007D4491"/>
    <w:rsid w:val="007D467E"/>
    <w:rsid w:val="007D47E9"/>
    <w:rsid w:val="007D490A"/>
    <w:rsid w:val="007D495C"/>
    <w:rsid w:val="007D4BC7"/>
    <w:rsid w:val="007D5D1D"/>
    <w:rsid w:val="007D65A6"/>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064B"/>
    <w:rsid w:val="007F1D62"/>
    <w:rsid w:val="007F1FD4"/>
    <w:rsid w:val="007F251D"/>
    <w:rsid w:val="007F2DE8"/>
    <w:rsid w:val="007F332F"/>
    <w:rsid w:val="007F3425"/>
    <w:rsid w:val="007F3728"/>
    <w:rsid w:val="007F37A3"/>
    <w:rsid w:val="007F3EFF"/>
    <w:rsid w:val="007F4114"/>
    <w:rsid w:val="007F54E3"/>
    <w:rsid w:val="007F5929"/>
    <w:rsid w:val="007F60B4"/>
    <w:rsid w:val="007F67EB"/>
    <w:rsid w:val="007F7462"/>
    <w:rsid w:val="007F75D6"/>
    <w:rsid w:val="007F76C2"/>
    <w:rsid w:val="007F7CF3"/>
    <w:rsid w:val="008001C5"/>
    <w:rsid w:val="008011DD"/>
    <w:rsid w:val="008024FD"/>
    <w:rsid w:val="0080343E"/>
    <w:rsid w:val="008038A7"/>
    <w:rsid w:val="008039A1"/>
    <w:rsid w:val="00803A64"/>
    <w:rsid w:val="00804275"/>
    <w:rsid w:val="00804654"/>
    <w:rsid w:val="008048B6"/>
    <w:rsid w:val="00804C8C"/>
    <w:rsid w:val="00806379"/>
    <w:rsid w:val="00807001"/>
    <w:rsid w:val="00807060"/>
    <w:rsid w:val="008070C2"/>
    <w:rsid w:val="00807978"/>
    <w:rsid w:val="00807ADD"/>
    <w:rsid w:val="0081009C"/>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1578"/>
    <w:rsid w:val="00824A94"/>
    <w:rsid w:val="00825813"/>
    <w:rsid w:val="00825C4E"/>
    <w:rsid w:val="0082620D"/>
    <w:rsid w:val="00826713"/>
    <w:rsid w:val="00826BD9"/>
    <w:rsid w:val="00826FAC"/>
    <w:rsid w:val="00827597"/>
    <w:rsid w:val="00827C3C"/>
    <w:rsid w:val="00830209"/>
    <w:rsid w:val="0083055D"/>
    <w:rsid w:val="008314D9"/>
    <w:rsid w:val="00831722"/>
    <w:rsid w:val="00831761"/>
    <w:rsid w:val="00831A9D"/>
    <w:rsid w:val="00831B4F"/>
    <w:rsid w:val="008323A4"/>
    <w:rsid w:val="00832474"/>
    <w:rsid w:val="00832BC7"/>
    <w:rsid w:val="00833A9A"/>
    <w:rsid w:val="00833C13"/>
    <w:rsid w:val="00833E5A"/>
    <w:rsid w:val="00834103"/>
    <w:rsid w:val="008345BB"/>
    <w:rsid w:val="00834D9D"/>
    <w:rsid w:val="00835732"/>
    <w:rsid w:val="00835C43"/>
    <w:rsid w:val="00836DF0"/>
    <w:rsid w:val="008374CF"/>
    <w:rsid w:val="0083774B"/>
    <w:rsid w:val="00837D0D"/>
    <w:rsid w:val="008401C3"/>
    <w:rsid w:val="008405C6"/>
    <w:rsid w:val="00840B73"/>
    <w:rsid w:val="00841E68"/>
    <w:rsid w:val="00842192"/>
    <w:rsid w:val="00842316"/>
    <w:rsid w:val="0084306B"/>
    <w:rsid w:val="0084339F"/>
    <w:rsid w:val="00843966"/>
    <w:rsid w:val="0084410B"/>
    <w:rsid w:val="008445C5"/>
    <w:rsid w:val="00846AA5"/>
    <w:rsid w:val="00846E9A"/>
    <w:rsid w:val="00847417"/>
    <w:rsid w:val="008476E2"/>
    <w:rsid w:val="0084786C"/>
    <w:rsid w:val="00847FB9"/>
    <w:rsid w:val="008507B8"/>
    <w:rsid w:val="00850A57"/>
    <w:rsid w:val="0085121E"/>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60B"/>
    <w:rsid w:val="00873E02"/>
    <w:rsid w:val="0087409E"/>
    <w:rsid w:val="0087423F"/>
    <w:rsid w:val="00874701"/>
    <w:rsid w:val="00874DDD"/>
    <w:rsid w:val="008750F7"/>
    <w:rsid w:val="00875867"/>
    <w:rsid w:val="00875F0F"/>
    <w:rsid w:val="00876612"/>
    <w:rsid w:val="0087704A"/>
    <w:rsid w:val="008771BF"/>
    <w:rsid w:val="008776D1"/>
    <w:rsid w:val="00877BA8"/>
    <w:rsid w:val="00877FFB"/>
    <w:rsid w:val="008802D4"/>
    <w:rsid w:val="00881986"/>
    <w:rsid w:val="00881A49"/>
    <w:rsid w:val="00882525"/>
    <w:rsid w:val="00882A11"/>
    <w:rsid w:val="00882D23"/>
    <w:rsid w:val="008830A0"/>
    <w:rsid w:val="00883DB0"/>
    <w:rsid w:val="00883FA4"/>
    <w:rsid w:val="0088447B"/>
    <w:rsid w:val="00884B28"/>
    <w:rsid w:val="0088510F"/>
    <w:rsid w:val="008854BB"/>
    <w:rsid w:val="00885623"/>
    <w:rsid w:val="00885A0D"/>
    <w:rsid w:val="00886A10"/>
    <w:rsid w:val="00886A7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3755"/>
    <w:rsid w:val="00893C88"/>
    <w:rsid w:val="00894620"/>
    <w:rsid w:val="008959D4"/>
    <w:rsid w:val="00895BD3"/>
    <w:rsid w:val="00895C95"/>
    <w:rsid w:val="00895FC3"/>
    <w:rsid w:val="00896242"/>
    <w:rsid w:val="00896753"/>
    <w:rsid w:val="0089721F"/>
    <w:rsid w:val="008975C1"/>
    <w:rsid w:val="008A05B5"/>
    <w:rsid w:val="008A0A33"/>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3A9A"/>
    <w:rsid w:val="008B3F93"/>
    <w:rsid w:val="008B4002"/>
    <w:rsid w:val="008B46FD"/>
    <w:rsid w:val="008B48B7"/>
    <w:rsid w:val="008B50FB"/>
    <w:rsid w:val="008B51A0"/>
    <w:rsid w:val="008B52BD"/>
    <w:rsid w:val="008B5455"/>
    <w:rsid w:val="008B614E"/>
    <w:rsid w:val="008B64A9"/>
    <w:rsid w:val="008B69A3"/>
    <w:rsid w:val="008B76F2"/>
    <w:rsid w:val="008B7B59"/>
    <w:rsid w:val="008C04AB"/>
    <w:rsid w:val="008C0602"/>
    <w:rsid w:val="008C1563"/>
    <w:rsid w:val="008C15DE"/>
    <w:rsid w:val="008C1F7C"/>
    <w:rsid w:val="008C242C"/>
    <w:rsid w:val="008C27AB"/>
    <w:rsid w:val="008C30DE"/>
    <w:rsid w:val="008C3C58"/>
    <w:rsid w:val="008C3EC6"/>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45E9"/>
    <w:rsid w:val="008D50FE"/>
    <w:rsid w:val="008D51A8"/>
    <w:rsid w:val="008D587B"/>
    <w:rsid w:val="008D5887"/>
    <w:rsid w:val="008D603C"/>
    <w:rsid w:val="008D657E"/>
    <w:rsid w:val="008D6676"/>
    <w:rsid w:val="008D737C"/>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D08"/>
    <w:rsid w:val="008F1E2D"/>
    <w:rsid w:val="008F29CE"/>
    <w:rsid w:val="008F45F2"/>
    <w:rsid w:val="008F45F3"/>
    <w:rsid w:val="008F4A54"/>
    <w:rsid w:val="008F5721"/>
    <w:rsid w:val="008F5937"/>
    <w:rsid w:val="008F5CFF"/>
    <w:rsid w:val="008F67D8"/>
    <w:rsid w:val="008F67F8"/>
    <w:rsid w:val="008F69A7"/>
    <w:rsid w:val="008F717B"/>
    <w:rsid w:val="008F7541"/>
    <w:rsid w:val="008F7BD6"/>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6F2"/>
    <w:rsid w:val="00904774"/>
    <w:rsid w:val="00904EA1"/>
    <w:rsid w:val="00905400"/>
    <w:rsid w:val="009054DB"/>
    <w:rsid w:val="00905DAE"/>
    <w:rsid w:val="00906130"/>
    <w:rsid w:val="00906728"/>
    <w:rsid w:val="00906C4D"/>
    <w:rsid w:val="00906F50"/>
    <w:rsid w:val="00907244"/>
    <w:rsid w:val="00910B83"/>
    <w:rsid w:val="00910C1C"/>
    <w:rsid w:val="00910DC7"/>
    <w:rsid w:val="00910F68"/>
    <w:rsid w:val="00910F7D"/>
    <w:rsid w:val="009112FD"/>
    <w:rsid w:val="009114EB"/>
    <w:rsid w:val="00911735"/>
    <w:rsid w:val="00911F98"/>
    <w:rsid w:val="00912362"/>
    <w:rsid w:val="00912BCA"/>
    <w:rsid w:val="00912CA2"/>
    <w:rsid w:val="00912F77"/>
    <w:rsid w:val="00912FA5"/>
    <w:rsid w:val="00913414"/>
    <w:rsid w:val="00913F54"/>
    <w:rsid w:val="009143B1"/>
    <w:rsid w:val="009147B1"/>
    <w:rsid w:val="00915566"/>
    <w:rsid w:val="00915658"/>
    <w:rsid w:val="009156E4"/>
    <w:rsid w:val="009157C1"/>
    <w:rsid w:val="00915A31"/>
    <w:rsid w:val="00915A9A"/>
    <w:rsid w:val="00916D14"/>
    <w:rsid w:val="00917243"/>
    <w:rsid w:val="00917327"/>
    <w:rsid w:val="00917D5C"/>
    <w:rsid w:val="0092013C"/>
    <w:rsid w:val="00920910"/>
    <w:rsid w:val="0092144B"/>
    <w:rsid w:val="00921B08"/>
    <w:rsid w:val="00921C47"/>
    <w:rsid w:val="00922702"/>
    <w:rsid w:val="009237E8"/>
    <w:rsid w:val="00923939"/>
    <w:rsid w:val="00923D53"/>
    <w:rsid w:val="0092421C"/>
    <w:rsid w:val="009246D8"/>
    <w:rsid w:val="00924FC9"/>
    <w:rsid w:val="00925041"/>
    <w:rsid w:val="009258F2"/>
    <w:rsid w:val="00925DD2"/>
    <w:rsid w:val="00926635"/>
    <w:rsid w:val="009274AA"/>
    <w:rsid w:val="00927A8C"/>
    <w:rsid w:val="00927B28"/>
    <w:rsid w:val="0093005B"/>
    <w:rsid w:val="009300E4"/>
    <w:rsid w:val="009306E3"/>
    <w:rsid w:val="00930D3D"/>
    <w:rsid w:val="00931271"/>
    <w:rsid w:val="00931DCB"/>
    <w:rsid w:val="00932132"/>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4F23"/>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7ED"/>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6A83"/>
    <w:rsid w:val="00967B81"/>
    <w:rsid w:val="00967BB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693D"/>
    <w:rsid w:val="0097704F"/>
    <w:rsid w:val="00977EA4"/>
    <w:rsid w:val="0098282F"/>
    <w:rsid w:val="00982928"/>
    <w:rsid w:val="00983635"/>
    <w:rsid w:val="0098364D"/>
    <w:rsid w:val="0098432F"/>
    <w:rsid w:val="0098462E"/>
    <w:rsid w:val="00984D51"/>
    <w:rsid w:val="00984DDC"/>
    <w:rsid w:val="0098528A"/>
    <w:rsid w:val="00985356"/>
    <w:rsid w:val="00986C4C"/>
    <w:rsid w:val="00986EF4"/>
    <w:rsid w:val="009876E6"/>
    <w:rsid w:val="00987874"/>
    <w:rsid w:val="00990498"/>
    <w:rsid w:val="009908F6"/>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042"/>
    <w:rsid w:val="009A0CC5"/>
    <w:rsid w:val="009A1448"/>
    <w:rsid w:val="009A1AE3"/>
    <w:rsid w:val="009A1CFB"/>
    <w:rsid w:val="009A2256"/>
    <w:rsid w:val="009A2F2E"/>
    <w:rsid w:val="009A31F7"/>
    <w:rsid w:val="009A4572"/>
    <w:rsid w:val="009A4744"/>
    <w:rsid w:val="009A49CB"/>
    <w:rsid w:val="009A5155"/>
    <w:rsid w:val="009A566B"/>
    <w:rsid w:val="009A625F"/>
    <w:rsid w:val="009A7260"/>
    <w:rsid w:val="009A7831"/>
    <w:rsid w:val="009A79D8"/>
    <w:rsid w:val="009A7B76"/>
    <w:rsid w:val="009B09C2"/>
    <w:rsid w:val="009B0DEE"/>
    <w:rsid w:val="009B1670"/>
    <w:rsid w:val="009B16F0"/>
    <w:rsid w:val="009B194E"/>
    <w:rsid w:val="009B1D92"/>
    <w:rsid w:val="009B1FCE"/>
    <w:rsid w:val="009B2DDB"/>
    <w:rsid w:val="009B3707"/>
    <w:rsid w:val="009B3A5E"/>
    <w:rsid w:val="009B4C6A"/>
    <w:rsid w:val="009B56E4"/>
    <w:rsid w:val="009B5881"/>
    <w:rsid w:val="009B632F"/>
    <w:rsid w:val="009B63E0"/>
    <w:rsid w:val="009B66C3"/>
    <w:rsid w:val="009B688D"/>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573D"/>
    <w:rsid w:val="009C770D"/>
    <w:rsid w:val="009C7A15"/>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4859"/>
    <w:rsid w:val="009D5312"/>
    <w:rsid w:val="009D5375"/>
    <w:rsid w:val="009D55F0"/>
    <w:rsid w:val="009D5BF4"/>
    <w:rsid w:val="009D6C79"/>
    <w:rsid w:val="009D6CD8"/>
    <w:rsid w:val="009D6DA8"/>
    <w:rsid w:val="009D6DB6"/>
    <w:rsid w:val="009D6E7E"/>
    <w:rsid w:val="009D6F5B"/>
    <w:rsid w:val="009D7AD7"/>
    <w:rsid w:val="009E173D"/>
    <w:rsid w:val="009E1885"/>
    <w:rsid w:val="009E1F17"/>
    <w:rsid w:val="009E2C07"/>
    <w:rsid w:val="009E2C30"/>
    <w:rsid w:val="009E2E4B"/>
    <w:rsid w:val="009E338E"/>
    <w:rsid w:val="009E3C6D"/>
    <w:rsid w:val="009E4688"/>
    <w:rsid w:val="009E48EB"/>
    <w:rsid w:val="009E49F9"/>
    <w:rsid w:val="009E4B6A"/>
    <w:rsid w:val="009E66EC"/>
    <w:rsid w:val="009E6783"/>
    <w:rsid w:val="009E6A39"/>
    <w:rsid w:val="009E6B83"/>
    <w:rsid w:val="009E7694"/>
    <w:rsid w:val="009F024C"/>
    <w:rsid w:val="009F1103"/>
    <w:rsid w:val="009F1643"/>
    <w:rsid w:val="009F166E"/>
    <w:rsid w:val="009F1E45"/>
    <w:rsid w:val="009F34AD"/>
    <w:rsid w:val="009F3D18"/>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1F3"/>
    <w:rsid w:val="00A04344"/>
    <w:rsid w:val="00A05831"/>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17950"/>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7F0"/>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15C1"/>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136F"/>
    <w:rsid w:val="00A52EDF"/>
    <w:rsid w:val="00A53E99"/>
    <w:rsid w:val="00A53EEF"/>
    <w:rsid w:val="00A5443D"/>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0E"/>
    <w:rsid w:val="00A77DCE"/>
    <w:rsid w:val="00A77E02"/>
    <w:rsid w:val="00A800C1"/>
    <w:rsid w:val="00A805B1"/>
    <w:rsid w:val="00A807BF"/>
    <w:rsid w:val="00A80BEB"/>
    <w:rsid w:val="00A80EA5"/>
    <w:rsid w:val="00A81722"/>
    <w:rsid w:val="00A81F18"/>
    <w:rsid w:val="00A820C6"/>
    <w:rsid w:val="00A82AF4"/>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73C"/>
    <w:rsid w:val="00A928AD"/>
    <w:rsid w:val="00A92D25"/>
    <w:rsid w:val="00A93382"/>
    <w:rsid w:val="00A93EE6"/>
    <w:rsid w:val="00A94373"/>
    <w:rsid w:val="00A9539C"/>
    <w:rsid w:val="00A961C3"/>
    <w:rsid w:val="00A96E49"/>
    <w:rsid w:val="00A97205"/>
    <w:rsid w:val="00A972B5"/>
    <w:rsid w:val="00A9777B"/>
    <w:rsid w:val="00A97BD3"/>
    <w:rsid w:val="00AA0861"/>
    <w:rsid w:val="00AA31DC"/>
    <w:rsid w:val="00AA378E"/>
    <w:rsid w:val="00AA39BC"/>
    <w:rsid w:val="00AA3C9D"/>
    <w:rsid w:val="00AA5E5A"/>
    <w:rsid w:val="00AA673F"/>
    <w:rsid w:val="00AA681C"/>
    <w:rsid w:val="00AA6A8D"/>
    <w:rsid w:val="00AA6B12"/>
    <w:rsid w:val="00AA70FE"/>
    <w:rsid w:val="00AA781C"/>
    <w:rsid w:val="00AB027B"/>
    <w:rsid w:val="00AB2487"/>
    <w:rsid w:val="00AB2D75"/>
    <w:rsid w:val="00AB3CA7"/>
    <w:rsid w:val="00AB4B7E"/>
    <w:rsid w:val="00AB4E1A"/>
    <w:rsid w:val="00AB4EC5"/>
    <w:rsid w:val="00AB5264"/>
    <w:rsid w:val="00AB567B"/>
    <w:rsid w:val="00AB5708"/>
    <w:rsid w:val="00AB5752"/>
    <w:rsid w:val="00AB5C9F"/>
    <w:rsid w:val="00AB60CB"/>
    <w:rsid w:val="00AC0172"/>
    <w:rsid w:val="00AC0291"/>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5FE"/>
    <w:rsid w:val="00AE3F2C"/>
    <w:rsid w:val="00AE4387"/>
    <w:rsid w:val="00AE4680"/>
    <w:rsid w:val="00AE49C3"/>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2CF2"/>
    <w:rsid w:val="00AF3201"/>
    <w:rsid w:val="00AF351A"/>
    <w:rsid w:val="00AF384E"/>
    <w:rsid w:val="00AF3ED6"/>
    <w:rsid w:val="00AF458C"/>
    <w:rsid w:val="00AF486C"/>
    <w:rsid w:val="00AF4FCA"/>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10BB0"/>
    <w:rsid w:val="00B10D89"/>
    <w:rsid w:val="00B10E7D"/>
    <w:rsid w:val="00B10FE0"/>
    <w:rsid w:val="00B1106F"/>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095"/>
    <w:rsid w:val="00B22379"/>
    <w:rsid w:val="00B22A4D"/>
    <w:rsid w:val="00B22A6C"/>
    <w:rsid w:val="00B22D2F"/>
    <w:rsid w:val="00B22DCD"/>
    <w:rsid w:val="00B23611"/>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02DC"/>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6FB"/>
    <w:rsid w:val="00B6670B"/>
    <w:rsid w:val="00B67823"/>
    <w:rsid w:val="00B70A59"/>
    <w:rsid w:val="00B71023"/>
    <w:rsid w:val="00B71783"/>
    <w:rsid w:val="00B717B3"/>
    <w:rsid w:val="00B72B9A"/>
    <w:rsid w:val="00B72C4F"/>
    <w:rsid w:val="00B73184"/>
    <w:rsid w:val="00B738F8"/>
    <w:rsid w:val="00B73A7D"/>
    <w:rsid w:val="00B73B9E"/>
    <w:rsid w:val="00B73C8C"/>
    <w:rsid w:val="00B73E7A"/>
    <w:rsid w:val="00B744A0"/>
    <w:rsid w:val="00B749F4"/>
    <w:rsid w:val="00B74C57"/>
    <w:rsid w:val="00B74DA8"/>
    <w:rsid w:val="00B75719"/>
    <w:rsid w:val="00B75C25"/>
    <w:rsid w:val="00B7618D"/>
    <w:rsid w:val="00B763EA"/>
    <w:rsid w:val="00B7742C"/>
    <w:rsid w:val="00B802B7"/>
    <w:rsid w:val="00B8071A"/>
    <w:rsid w:val="00B814CD"/>
    <w:rsid w:val="00B81589"/>
    <w:rsid w:val="00B8197A"/>
    <w:rsid w:val="00B8222B"/>
    <w:rsid w:val="00B8264A"/>
    <w:rsid w:val="00B83F8C"/>
    <w:rsid w:val="00B83FCE"/>
    <w:rsid w:val="00B84901"/>
    <w:rsid w:val="00B851BD"/>
    <w:rsid w:val="00B853D0"/>
    <w:rsid w:val="00B85F45"/>
    <w:rsid w:val="00B8634C"/>
    <w:rsid w:val="00B86635"/>
    <w:rsid w:val="00B8684F"/>
    <w:rsid w:val="00B86BD3"/>
    <w:rsid w:val="00B87C94"/>
    <w:rsid w:val="00B87D1E"/>
    <w:rsid w:val="00B9017E"/>
    <w:rsid w:val="00B90E77"/>
    <w:rsid w:val="00B91483"/>
    <w:rsid w:val="00B91D75"/>
    <w:rsid w:val="00B92604"/>
    <w:rsid w:val="00B92A98"/>
    <w:rsid w:val="00B92B7D"/>
    <w:rsid w:val="00B92BBE"/>
    <w:rsid w:val="00B93B71"/>
    <w:rsid w:val="00B93EEF"/>
    <w:rsid w:val="00B94541"/>
    <w:rsid w:val="00B95576"/>
    <w:rsid w:val="00B95724"/>
    <w:rsid w:val="00B96777"/>
    <w:rsid w:val="00B968FF"/>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6770"/>
    <w:rsid w:val="00BA7121"/>
    <w:rsid w:val="00BA7217"/>
    <w:rsid w:val="00BA766A"/>
    <w:rsid w:val="00BA7D79"/>
    <w:rsid w:val="00BA7E93"/>
    <w:rsid w:val="00BB08FF"/>
    <w:rsid w:val="00BB10BD"/>
    <w:rsid w:val="00BB142C"/>
    <w:rsid w:val="00BB1646"/>
    <w:rsid w:val="00BB1851"/>
    <w:rsid w:val="00BB26DD"/>
    <w:rsid w:val="00BB2F19"/>
    <w:rsid w:val="00BB33D9"/>
    <w:rsid w:val="00BB3695"/>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2856"/>
    <w:rsid w:val="00BC3393"/>
    <w:rsid w:val="00BC38EE"/>
    <w:rsid w:val="00BC4504"/>
    <w:rsid w:val="00BC4814"/>
    <w:rsid w:val="00BC4B65"/>
    <w:rsid w:val="00BC4FFE"/>
    <w:rsid w:val="00BC58B9"/>
    <w:rsid w:val="00BC5C57"/>
    <w:rsid w:val="00BC615F"/>
    <w:rsid w:val="00BC6B4C"/>
    <w:rsid w:val="00BD006C"/>
    <w:rsid w:val="00BD02D2"/>
    <w:rsid w:val="00BD1431"/>
    <w:rsid w:val="00BD2C19"/>
    <w:rsid w:val="00BD2CBA"/>
    <w:rsid w:val="00BD30FE"/>
    <w:rsid w:val="00BD34AF"/>
    <w:rsid w:val="00BD35B1"/>
    <w:rsid w:val="00BD35CD"/>
    <w:rsid w:val="00BD35E0"/>
    <w:rsid w:val="00BD3842"/>
    <w:rsid w:val="00BD3DED"/>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4EC0"/>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5FF6"/>
    <w:rsid w:val="00BF6144"/>
    <w:rsid w:val="00BF62E7"/>
    <w:rsid w:val="00BF74B6"/>
    <w:rsid w:val="00C0176E"/>
    <w:rsid w:val="00C01B8F"/>
    <w:rsid w:val="00C01CF0"/>
    <w:rsid w:val="00C02116"/>
    <w:rsid w:val="00C02C54"/>
    <w:rsid w:val="00C02F94"/>
    <w:rsid w:val="00C034A8"/>
    <w:rsid w:val="00C034A9"/>
    <w:rsid w:val="00C03971"/>
    <w:rsid w:val="00C03BB8"/>
    <w:rsid w:val="00C042B1"/>
    <w:rsid w:val="00C04EA9"/>
    <w:rsid w:val="00C06015"/>
    <w:rsid w:val="00C06562"/>
    <w:rsid w:val="00C069A2"/>
    <w:rsid w:val="00C06C01"/>
    <w:rsid w:val="00C06E2A"/>
    <w:rsid w:val="00C072A2"/>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62A3"/>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7AF"/>
    <w:rsid w:val="00C44992"/>
    <w:rsid w:val="00C4544F"/>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6575"/>
    <w:rsid w:val="00C56701"/>
    <w:rsid w:val="00C576C3"/>
    <w:rsid w:val="00C6055B"/>
    <w:rsid w:val="00C6060B"/>
    <w:rsid w:val="00C606A0"/>
    <w:rsid w:val="00C606C4"/>
    <w:rsid w:val="00C6141C"/>
    <w:rsid w:val="00C61C22"/>
    <w:rsid w:val="00C61DCD"/>
    <w:rsid w:val="00C62404"/>
    <w:rsid w:val="00C62962"/>
    <w:rsid w:val="00C62CC1"/>
    <w:rsid w:val="00C63351"/>
    <w:rsid w:val="00C63838"/>
    <w:rsid w:val="00C644EF"/>
    <w:rsid w:val="00C6492B"/>
    <w:rsid w:val="00C64A12"/>
    <w:rsid w:val="00C64A44"/>
    <w:rsid w:val="00C64ECB"/>
    <w:rsid w:val="00C6514C"/>
    <w:rsid w:val="00C6554B"/>
    <w:rsid w:val="00C66238"/>
    <w:rsid w:val="00C66766"/>
    <w:rsid w:val="00C66FF7"/>
    <w:rsid w:val="00C671E3"/>
    <w:rsid w:val="00C6723A"/>
    <w:rsid w:val="00C6732F"/>
    <w:rsid w:val="00C6749B"/>
    <w:rsid w:val="00C67BB7"/>
    <w:rsid w:val="00C67F7E"/>
    <w:rsid w:val="00C70172"/>
    <w:rsid w:val="00C722C4"/>
    <w:rsid w:val="00C72CD2"/>
    <w:rsid w:val="00C72D58"/>
    <w:rsid w:val="00C72DEA"/>
    <w:rsid w:val="00C7312C"/>
    <w:rsid w:val="00C7339C"/>
    <w:rsid w:val="00C7366F"/>
    <w:rsid w:val="00C73C6B"/>
    <w:rsid w:val="00C73FD9"/>
    <w:rsid w:val="00C75605"/>
    <w:rsid w:val="00C7587E"/>
    <w:rsid w:val="00C761E4"/>
    <w:rsid w:val="00C763C3"/>
    <w:rsid w:val="00C76581"/>
    <w:rsid w:val="00C768B5"/>
    <w:rsid w:val="00C768B7"/>
    <w:rsid w:val="00C76FE2"/>
    <w:rsid w:val="00C7703B"/>
    <w:rsid w:val="00C77043"/>
    <w:rsid w:val="00C77BD0"/>
    <w:rsid w:val="00C8035E"/>
    <w:rsid w:val="00C8045C"/>
    <w:rsid w:val="00C8143C"/>
    <w:rsid w:val="00C815DA"/>
    <w:rsid w:val="00C82846"/>
    <w:rsid w:val="00C828AE"/>
    <w:rsid w:val="00C82EB1"/>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E35"/>
    <w:rsid w:val="00C87ED6"/>
    <w:rsid w:val="00C87F28"/>
    <w:rsid w:val="00C9023C"/>
    <w:rsid w:val="00C90872"/>
    <w:rsid w:val="00C909F2"/>
    <w:rsid w:val="00C90A1C"/>
    <w:rsid w:val="00C90C8D"/>
    <w:rsid w:val="00C91A4F"/>
    <w:rsid w:val="00C924BE"/>
    <w:rsid w:val="00C92FBE"/>
    <w:rsid w:val="00C932BF"/>
    <w:rsid w:val="00C93B6B"/>
    <w:rsid w:val="00C94D41"/>
    <w:rsid w:val="00C950D1"/>
    <w:rsid w:val="00C96A6A"/>
    <w:rsid w:val="00C9700A"/>
    <w:rsid w:val="00C97A36"/>
    <w:rsid w:val="00CA0385"/>
    <w:rsid w:val="00CA1646"/>
    <w:rsid w:val="00CA1B2B"/>
    <w:rsid w:val="00CA2215"/>
    <w:rsid w:val="00CA2A3D"/>
    <w:rsid w:val="00CA2B9B"/>
    <w:rsid w:val="00CA311F"/>
    <w:rsid w:val="00CA318C"/>
    <w:rsid w:val="00CA335A"/>
    <w:rsid w:val="00CA35FD"/>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1CC"/>
    <w:rsid w:val="00CD229D"/>
    <w:rsid w:val="00CD2550"/>
    <w:rsid w:val="00CD299D"/>
    <w:rsid w:val="00CD3093"/>
    <w:rsid w:val="00CD31E1"/>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9E1"/>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383"/>
    <w:rsid w:val="00D2486C"/>
    <w:rsid w:val="00D24CEC"/>
    <w:rsid w:val="00D24D07"/>
    <w:rsid w:val="00D2581C"/>
    <w:rsid w:val="00D25BDF"/>
    <w:rsid w:val="00D25E61"/>
    <w:rsid w:val="00D266BD"/>
    <w:rsid w:val="00D268BC"/>
    <w:rsid w:val="00D26DD4"/>
    <w:rsid w:val="00D276FE"/>
    <w:rsid w:val="00D27D4C"/>
    <w:rsid w:val="00D27EAE"/>
    <w:rsid w:val="00D27F38"/>
    <w:rsid w:val="00D3051A"/>
    <w:rsid w:val="00D30537"/>
    <w:rsid w:val="00D310FE"/>
    <w:rsid w:val="00D311C9"/>
    <w:rsid w:val="00D31F2C"/>
    <w:rsid w:val="00D321D4"/>
    <w:rsid w:val="00D32354"/>
    <w:rsid w:val="00D3371C"/>
    <w:rsid w:val="00D33F95"/>
    <w:rsid w:val="00D34283"/>
    <w:rsid w:val="00D34DEB"/>
    <w:rsid w:val="00D351BC"/>
    <w:rsid w:val="00D35516"/>
    <w:rsid w:val="00D3569E"/>
    <w:rsid w:val="00D3583C"/>
    <w:rsid w:val="00D35891"/>
    <w:rsid w:val="00D362CC"/>
    <w:rsid w:val="00D367EC"/>
    <w:rsid w:val="00D36B92"/>
    <w:rsid w:val="00D36F04"/>
    <w:rsid w:val="00D36F7B"/>
    <w:rsid w:val="00D3734B"/>
    <w:rsid w:val="00D37EA8"/>
    <w:rsid w:val="00D37F20"/>
    <w:rsid w:val="00D402D9"/>
    <w:rsid w:val="00D40C80"/>
    <w:rsid w:val="00D41498"/>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29D"/>
    <w:rsid w:val="00D53DA9"/>
    <w:rsid w:val="00D54963"/>
    <w:rsid w:val="00D54E81"/>
    <w:rsid w:val="00D54EAC"/>
    <w:rsid w:val="00D55599"/>
    <w:rsid w:val="00D55872"/>
    <w:rsid w:val="00D55A80"/>
    <w:rsid w:val="00D55E26"/>
    <w:rsid w:val="00D57A75"/>
    <w:rsid w:val="00D57F37"/>
    <w:rsid w:val="00D601A7"/>
    <w:rsid w:val="00D60357"/>
    <w:rsid w:val="00D60A16"/>
    <w:rsid w:val="00D6137B"/>
    <w:rsid w:val="00D6151A"/>
    <w:rsid w:val="00D61B0F"/>
    <w:rsid w:val="00D626FD"/>
    <w:rsid w:val="00D62970"/>
    <w:rsid w:val="00D63D25"/>
    <w:rsid w:val="00D63DD5"/>
    <w:rsid w:val="00D63DEC"/>
    <w:rsid w:val="00D64210"/>
    <w:rsid w:val="00D6538B"/>
    <w:rsid w:val="00D657A7"/>
    <w:rsid w:val="00D6584D"/>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15B"/>
    <w:rsid w:val="00D75210"/>
    <w:rsid w:val="00D7569D"/>
    <w:rsid w:val="00D75E32"/>
    <w:rsid w:val="00D75EA8"/>
    <w:rsid w:val="00D767FF"/>
    <w:rsid w:val="00D76BC3"/>
    <w:rsid w:val="00D76FD8"/>
    <w:rsid w:val="00D77806"/>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5E"/>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59B"/>
    <w:rsid w:val="00D96965"/>
    <w:rsid w:val="00D969F1"/>
    <w:rsid w:val="00D9701F"/>
    <w:rsid w:val="00D977B8"/>
    <w:rsid w:val="00D97976"/>
    <w:rsid w:val="00DA07A4"/>
    <w:rsid w:val="00DA09D5"/>
    <w:rsid w:val="00DA0A7D"/>
    <w:rsid w:val="00DA13E0"/>
    <w:rsid w:val="00DA179D"/>
    <w:rsid w:val="00DA1D27"/>
    <w:rsid w:val="00DA48D2"/>
    <w:rsid w:val="00DA4981"/>
    <w:rsid w:val="00DA4A64"/>
    <w:rsid w:val="00DA4B26"/>
    <w:rsid w:val="00DA506B"/>
    <w:rsid w:val="00DA5F67"/>
    <w:rsid w:val="00DA643C"/>
    <w:rsid w:val="00DA67F1"/>
    <w:rsid w:val="00DA6D64"/>
    <w:rsid w:val="00DA6F55"/>
    <w:rsid w:val="00DA7144"/>
    <w:rsid w:val="00DA7A3E"/>
    <w:rsid w:val="00DA7C0C"/>
    <w:rsid w:val="00DA7C6E"/>
    <w:rsid w:val="00DB086C"/>
    <w:rsid w:val="00DB09E2"/>
    <w:rsid w:val="00DB0B06"/>
    <w:rsid w:val="00DB0B52"/>
    <w:rsid w:val="00DB13A1"/>
    <w:rsid w:val="00DB14C2"/>
    <w:rsid w:val="00DB18FD"/>
    <w:rsid w:val="00DB1A5C"/>
    <w:rsid w:val="00DB1CF5"/>
    <w:rsid w:val="00DB23C1"/>
    <w:rsid w:val="00DB29A7"/>
    <w:rsid w:val="00DB3B90"/>
    <w:rsid w:val="00DB4785"/>
    <w:rsid w:val="00DB5B5D"/>
    <w:rsid w:val="00DB679F"/>
    <w:rsid w:val="00DB6CF6"/>
    <w:rsid w:val="00DB73AA"/>
    <w:rsid w:val="00DB7604"/>
    <w:rsid w:val="00DB78D7"/>
    <w:rsid w:val="00DC0B08"/>
    <w:rsid w:val="00DC0E2B"/>
    <w:rsid w:val="00DC1992"/>
    <w:rsid w:val="00DC1BFD"/>
    <w:rsid w:val="00DC29D0"/>
    <w:rsid w:val="00DC2B9D"/>
    <w:rsid w:val="00DC3078"/>
    <w:rsid w:val="00DC35B2"/>
    <w:rsid w:val="00DC424D"/>
    <w:rsid w:val="00DC59B2"/>
    <w:rsid w:val="00DC6741"/>
    <w:rsid w:val="00DC6F6B"/>
    <w:rsid w:val="00DC7664"/>
    <w:rsid w:val="00DC7F23"/>
    <w:rsid w:val="00DD0A02"/>
    <w:rsid w:val="00DD0BBF"/>
    <w:rsid w:val="00DD16B5"/>
    <w:rsid w:val="00DD1C7C"/>
    <w:rsid w:val="00DD1E90"/>
    <w:rsid w:val="00DD2FAD"/>
    <w:rsid w:val="00DD355B"/>
    <w:rsid w:val="00DD3C40"/>
    <w:rsid w:val="00DD3CCC"/>
    <w:rsid w:val="00DD4171"/>
    <w:rsid w:val="00DD494E"/>
    <w:rsid w:val="00DD4C56"/>
    <w:rsid w:val="00DD4FE1"/>
    <w:rsid w:val="00DD6374"/>
    <w:rsid w:val="00DD6A1B"/>
    <w:rsid w:val="00DD726E"/>
    <w:rsid w:val="00DD7839"/>
    <w:rsid w:val="00DD7DD3"/>
    <w:rsid w:val="00DE0047"/>
    <w:rsid w:val="00DE006C"/>
    <w:rsid w:val="00DE07CC"/>
    <w:rsid w:val="00DE0F55"/>
    <w:rsid w:val="00DE10A4"/>
    <w:rsid w:val="00DE11E6"/>
    <w:rsid w:val="00DE1348"/>
    <w:rsid w:val="00DE186B"/>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8E6"/>
    <w:rsid w:val="00DE79D3"/>
    <w:rsid w:val="00DF06DF"/>
    <w:rsid w:val="00DF0EC3"/>
    <w:rsid w:val="00DF11BA"/>
    <w:rsid w:val="00DF147D"/>
    <w:rsid w:val="00DF16F5"/>
    <w:rsid w:val="00DF230D"/>
    <w:rsid w:val="00DF332D"/>
    <w:rsid w:val="00DF34A7"/>
    <w:rsid w:val="00DF3626"/>
    <w:rsid w:val="00DF3BBD"/>
    <w:rsid w:val="00DF3F49"/>
    <w:rsid w:val="00DF5221"/>
    <w:rsid w:val="00DF5518"/>
    <w:rsid w:val="00DF58EE"/>
    <w:rsid w:val="00DF72C2"/>
    <w:rsid w:val="00DF7B9D"/>
    <w:rsid w:val="00E00BF3"/>
    <w:rsid w:val="00E01337"/>
    <w:rsid w:val="00E0184F"/>
    <w:rsid w:val="00E01B43"/>
    <w:rsid w:val="00E01C0F"/>
    <w:rsid w:val="00E0308F"/>
    <w:rsid w:val="00E03356"/>
    <w:rsid w:val="00E033AF"/>
    <w:rsid w:val="00E0409F"/>
    <w:rsid w:val="00E05360"/>
    <w:rsid w:val="00E054A7"/>
    <w:rsid w:val="00E05ED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780"/>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2BC"/>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824"/>
    <w:rsid w:val="00E43B48"/>
    <w:rsid w:val="00E43ED0"/>
    <w:rsid w:val="00E45A7B"/>
    <w:rsid w:val="00E460DC"/>
    <w:rsid w:val="00E4687E"/>
    <w:rsid w:val="00E476A6"/>
    <w:rsid w:val="00E47DDF"/>
    <w:rsid w:val="00E50280"/>
    <w:rsid w:val="00E50E2D"/>
    <w:rsid w:val="00E50F3A"/>
    <w:rsid w:val="00E51494"/>
    <w:rsid w:val="00E51BB7"/>
    <w:rsid w:val="00E53166"/>
    <w:rsid w:val="00E5346E"/>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E63"/>
    <w:rsid w:val="00E72BD1"/>
    <w:rsid w:val="00E731D1"/>
    <w:rsid w:val="00E734F6"/>
    <w:rsid w:val="00E737D8"/>
    <w:rsid w:val="00E7382F"/>
    <w:rsid w:val="00E73F3B"/>
    <w:rsid w:val="00E74EDC"/>
    <w:rsid w:val="00E757A6"/>
    <w:rsid w:val="00E75DBA"/>
    <w:rsid w:val="00E75F33"/>
    <w:rsid w:val="00E75F8C"/>
    <w:rsid w:val="00E76149"/>
    <w:rsid w:val="00E7634F"/>
    <w:rsid w:val="00E768E7"/>
    <w:rsid w:val="00E80C0B"/>
    <w:rsid w:val="00E8275D"/>
    <w:rsid w:val="00E82EDE"/>
    <w:rsid w:val="00E83DF4"/>
    <w:rsid w:val="00E8472E"/>
    <w:rsid w:val="00E84CD3"/>
    <w:rsid w:val="00E855E8"/>
    <w:rsid w:val="00E85E18"/>
    <w:rsid w:val="00E866E6"/>
    <w:rsid w:val="00E86B42"/>
    <w:rsid w:val="00E872EF"/>
    <w:rsid w:val="00E87C88"/>
    <w:rsid w:val="00E90971"/>
    <w:rsid w:val="00E914FE"/>
    <w:rsid w:val="00E91513"/>
    <w:rsid w:val="00E91CCF"/>
    <w:rsid w:val="00E92A6D"/>
    <w:rsid w:val="00E92E62"/>
    <w:rsid w:val="00E93253"/>
    <w:rsid w:val="00E93483"/>
    <w:rsid w:val="00E9350D"/>
    <w:rsid w:val="00E954AF"/>
    <w:rsid w:val="00E95B6B"/>
    <w:rsid w:val="00E969B5"/>
    <w:rsid w:val="00E96C62"/>
    <w:rsid w:val="00E97320"/>
    <w:rsid w:val="00E973E1"/>
    <w:rsid w:val="00E976AD"/>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6D"/>
    <w:rsid w:val="00EB41B2"/>
    <w:rsid w:val="00EB4950"/>
    <w:rsid w:val="00EB49BE"/>
    <w:rsid w:val="00EB4A07"/>
    <w:rsid w:val="00EB4A10"/>
    <w:rsid w:val="00EB4AAF"/>
    <w:rsid w:val="00EB4E68"/>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35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B3C"/>
    <w:rsid w:val="00EE2EED"/>
    <w:rsid w:val="00EE36F2"/>
    <w:rsid w:val="00EE3FB5"/>
    <w:rsid w:val="00EE40B9"/>
    <w:rsid w:val="00EE4A86"/>
    <w:rsid w:val="00EE4E29"/>
    <w:rsid w:val="00EE4EAC"/>
    <w:rsid w:val="00EE4F26"/>
    <w:rsid w:val="00EE4FE2"/>
    <w:rsid w:val="00EE5465"/>
    <w:rsid w:val="00EE5C57"/>
    <w:rsid w:val="00EE603A"/>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05B"/>
    <w:rsid w:val="00EF4B51"/>
    <w:rsid w:val="00EF550B"/>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59B0"/>
    <w:rsid w:val="00F25DEC"/>
    <w:rsid w:val="00F25E87"/>
    <w:rsid w:val="00F2620B"/>
    <w:rsid w:val="00F26824"/>
    <w:rsid w:val="00F26A78"/>
    <w:rsid w:val="00F26EB7"/>
    <w:rsid w:val="00F26EF1"/>
    <w:rsid w:val="00F270B4"/>
    <w:rsid w:val="00F276A4"/>
    <w:rsid w:val="00F27746"/>
    <w:rsid w:val="00F3212A"/>
    <w:rsid w:val="00F3217D"/>
    <w:rsid w:val="00F32256"/>
    <w:rsid w:val="00F332CF"/>
    <w:rsid w:val="00F3371A"/>
    <w:rsid w:val="00F34195"/>
    <w:rsid w:val="00F34388"/>
    <w:rsid w:val="00F34679"/>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018"/>
    <w:rsid w:val="00F51C52"/>
    <w:rsid w:val="00F522D9"/>
    <w:rsid w:val="00F525B0"/>
    <w:rsid w:val="00F530EB"/>
    <w:rsid w:val="00F53A71"/>
    <w:rsid w:val="00F53FF3"/>
    <w:rsid w:val="00F564CC"/>
    <w:rsid w:val="00F57D19"/>
    <w:rsid w:val="00F608D0"/>
    <w:rsid w:val="00F6093B"/>
    <w:rsid w:val="00F60AE1"/>
    <w:rsid w:val="00F60CE8"/>
    <w:rsid w:val="00F61111"/>
    <w:rsid w:val="00F61B59"/>
    <w:rsid w:val="00F61C6C"/>
    <w:rsid w:val="00F62C94"/>
    <w:rsid w:val="00F6346E"/>
    <w:rsid w:val="00F64944"/>
    <w:rsid w:val="00F64E77"/>
    <w:rsid w:val="00F65B6B"/>
    <w:rsid w:val="00F660EC"/>
    <w:rsid w:val="00F66B41"/>
    <w:rsid w:val="00F70234"/>
    <w:rsid w:val="00F716E2"/>
    <w:rsid w:val="00F7377B"/>
    <w:rsid w:val="00F74578"/>
    <w:rsid w:val="00F75E44"/>
    <w:rsid w:val="00F76078"/>
    <w:rsid w:val="00F760FF"/>
    <w:rsid w:val="00F76193"/>
    <w:rsid w:val="00F765EC"/>
    <w:rsid w:val="00F765F5"/>
    <w:rsid w:val="00F76813"/>
    <w:rsid w:val="00F76F95"/>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0D7"/>
    <w:rsid w:val="00F86184"/>
    <w:rsid w:val="00F861A0"/>
    <w:rsid w:val="00F86378"/>
    <w:rsid w:val="00F86394"/>
    <w:rsid w:val="00F87254"/>
    <w:rsid w:val="00F87A25"/>
    <w:rsid w:val="00F87E6A"/>
    <w:rsid w:val="00F906D9"/>
    <w:rsid w:val="00F90748"/>
    <w:rsid w:val="00F90C3E"/>
    <w:rsid w:val="00F90D7F"/>
    <w:rsid w:val="00F91087"/>
    <w:rsid w:val="00F9197B"/>
    <w:rsid w:val="00F91AF7"/>
    <w:rsid w:val="00F91F4E"/>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E2B"/>
    <w:rsid w:val="00F96E55"/>
    <w:rsid w:val="00F97560"/>
    <w:rsid w:val="00F97BE0"/>
    <w:rsid w:val="00FA0536"/>
    <w:rsid w:val="00FA0D46"/>
    <w:rsid w:val="00FA1DF2"/>
    <w:rsid w:val="00FA1FA7"/>
    <w:rsid w:val="00FA20F0"/>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2979"/>
    <w:rsid w:val="00FC351C"/>
    <w:rsid w:val="00FC37E0"/>
    <w:rsid w:val="00FC3B89"/>
    <w:rsid w:val="00FC3BFF"/>
    <w:rsid w:val="00FC4C53"/>
    <w:rsid w:val="00FC4D5B"/>
    <w:rsid w:val="00FC4ED7"/>
    <w:rsid w:val="00FC5DA2"/>
    <w:rsid w:val="00FC5E22"/>
    <w:rsid w:val="00FC638D"/>
    <w:rsid w:val="00FC63C1"/>
    <w:rsid w:val="00FC65A7"/>
    <w:rsid w:val="00FC72DD"/>
    <w:rsid w:val="00FC75EF"/>
    <w:rsid w:val="00FD003F"/>
    <w:rsid w:val="00FD0793"/>
    <w:rsid w:val="00FD089F"/>
    <w:rsid w:val="00FD0BE6"/>
    <w:rsid w:val="00FD24B8"/>
    <w:rsid w:val="00FD28C1"/>
    <w:rsid w:val="00FD2A62"/>
    <w:rsid w:val="00FD327F"/>
    <w:rsid w:val="00FD32B4"/>
    <w:rsid w:val="00FD378C"/>
    <w:rsid w:val="00FD3E3F"/>
    <w:rsid w:val="00FD5436"/>
    <w:rsid w:val="00FD5633"/>
    <w:rsid w:val="00FD7117"/>
    <w:rsid w:val="00FD7361"/>
    <w:rsid w:val="00FD7601"/>
    <w:rsid w:val="00FD7AC4"/>
    <w:rsid w:val="00FD7E34"/>
    <w:rsid w:val="00FE092E"/>
    <w:rsid w:val="00FE1662"/>
    <w:rsid w:val="00FE1914"/>
    <w:rsid w:val="00FE1950"/>
    <w:rsid w:val="00FE1FD3"/>
    <w:rsid w:val="00FE225C"/>
    <w:rsid w:val="00FE25DA"/>
    <w:rsid w:val="00FE367F"/>
    <w:rsid w:val="00FE47A0"/>
    <w:rsid w:val="00FE48FB"/>
    <w:rsid w:val="00FE4E36"/>
    <w:rsid w:val="00FE5E80"/>
    <w:rsid w:val="00FE6213"/>
    <w:rsid w:val="00FE6570"/>
    <w:rsid w:val="00FE6AC9"/>
    <w:rsid w:val="00FE6C7D"/>
    <w:rsid w:val="00FE76F4"/>
    <w:rsid w:val="00FE7929"/>
    <w:rsid w:val="00FE7DB5"/>
    <w:rsid w:val="00FF0A4D"/>
    <w:rsid w:val="00FF0F26"/>
    <w:rsid w:val="00FF1301"/>
    <w:rsid w:val="00FF16A6"/>
    <w:rsid w:val="00FF2AC9"/>
    <w:rsid w:val="00FF3423"/>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customStyle="1" w:styleId="Char0">
    <w:name w:val="목록 단락 Char"/>
    <w:aliases w:val="- Bullets Char,リスト段落 Char"/>
    <w:link w:val="ad"/>
    <w:uiPriority w:val="34"/>
    <w:qFormat/>
    <w:rsid w:val="007F251D"/>
    <w:rPr>
      <w:rFonts w:ascii="바탕" w:hAnsi="바탕" w:cs="굴림"/>
    </w:rPr>
  </w:style>
  <w:style w:type="character" w:styleId="af5">
    <w:name w:val="Placeholder Text"/>
    <w:basedOn w:val="a2"/>
    <w:uiPriority w:val="99"/>
    <w:semiHidden/>
    <w:rsid w:val="00D75E32"/>
    <w:rPr>
      <w:color w:val="808080"/>
    </w:rPr>
  </w:style>
  <w:style w:type="paragraph" w:customStyle="1" w:styleId="EQ">
    <w:name w:val="EQ"/>
    <w:basedOn w:val="a1"/>
    <w:next w:val="a1"/>
    <w:qFormat/>
    <w:rsid w:val="00E20780"/>
    <w:pPr>
      <w:keepLines/>
      <w:tabs>
        <w:tab w:val="center" w:pos="4536"/>
        <w:tab w:val="right" w:pos="9072"/>
      </w:tabs>
      <w:spacing w:before="0" w:line="240" w:lineRule="auto"/>
      <w:ind w:left="0" w:firstLine="0"/>
      <w:jc w:val="left"/>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123356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366222746">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1892691494">
          <w:marLeft w:val="850"/>
          <w:marRight w:val="0"/>
          <w:marTop w:val="86"/>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347950917">
          <w:marLeft w:val="1699"/>
          <w:marRight w:val="0"/>
          <w:marTop w:val="67"/>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088429119">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0517119">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6838978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63150301">
      <w:bodyDiv w:val="1"/>
      <w:marLeft w:val="0"/>
      <w:marRight w:val="0"/>
      <w:marTop w:val="0"/>
      <w:marBottom w:val="0"/>
      <w:divBdr>
        <w:top w:val="none" w:sz="0" w:space="0" w:color="auto"/>
        <w:left w:val="none" w:sz="0" w:space="0" w:color="auto"/>
        <w:bottom w:val="none" w:sz="0" w:space="0" w:color="auto"/>
        <w:right w:val="none" w:sz="0" w:space="0" w:color="auto"/>
      </w:divBdr>
      <w:divsChild>
        <w:div w:id="580019869">
          <w:marLeft w:val="547"/>
          <w:marRight w:val="0"/>
          <w:marTop w:val="154"/>
          <w:marBottom w:val="0"/>
          <w:divBdr>
            <w:top w:val="none" w:sz="0" w:space="0" w:color="auto"/>
            <w:left w:val="none" w:sz="0" w:space="0" w:color="auto"/>
            <w:bottom w:val="none" w:sz="0" w:space="0" w:color="auto"/>
            <w:right w:val="none" w:sz="0" w:space="0" w:color="auto"/>
          </w:divBdr>
        </w:div>
        <w:div w:id="1937786775">
          <w:marLeft w:val="1166"/>
          <w:marRight w:val="0"/>
          <w:marTop w:val="134"/>
          <w:marBottom w:val="0"/>
          <w:divBdr>
            <w:top w:val="none" w:sz="0" w:space="0" w:color="auto"/>
            <w:left w:val="none" w:sz="0" w:space="0" w:color="auto"/>
            <w:bottom w:val="none" w:sz="0" w:space="0" w:color="auto"/>
            <w:right w:val="none" w:sz="0" w:space="0" w:color="auto"/>
          </w:divBdr>
        </w:div>
        <w:div w:id="1847668164">
          <w:marLeft w:val="1166"/>
          <w:marRight w:val="0"/>
          <w:marTop w:val="134"/>
          <w:marBottom w:val="0"/>
          <w:divBdr>
            <w:top w:val="none" w:sz="0" w:space="0" w:color="auto"/>
            <w:left w:val="none" w:sz="0" w:space="0" w:color="auto"/>
            <w:bottom w:val="none" w:sz="0" w:space="0" w:color="auto"/>
            <w:right w:val="none" w:sz="0" w:space="0" w:color="auto"/>
          </w:divBdr>
        </w:div>
        <w:div w:id="1356228099">
          <w:marLeft w:val="1166"/>
          <w:marRight w:val="0"/>
          <w:marTop w:val="134"/>
          <w:marBottom w:val="0"/>
          <w:divBdr>
            <w:top w:val="none" w:sz="0" w:space="0" w:color="auto"/>
            <w:left w:val="none" w:sz="0" w:space="0" w:color="auto"/>
            <w:bottom w:val="none" w:sz="0" w:space="0" w:color="auto"/>
            <w:right w:val="none" w:sz="0" w:space="0" w:color="auto"/>
          </w:divBdr>
        </w:div>
        <w:div w:id="1431661245">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0132504">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0AE4A-897A-48D9-88FD-9599835D0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5</Pages>
  <Words>1207</Words>
  <Characters>6885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60</cp:revision>
  <cp:lastPrinted>2010-11-09T05:20:00Z</cp:lastPrinted>
  <dcterms:created xsi:type="dcterms:W3CDTF">2018-02-13T11:14:00Z</dcterms:created>
  <dcterms:modified xsi:type="dcterms:W3CDTF">2018-05-11T12:29:00Z</dcterms:modified>
</cp:coreProperties>
</file>